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hint="default" w:ascii="Times New Roman" w:hAnsi="Times New Roman" w:cs="Times New Roman"/>
          <w:color w:val="auto"/>
          <w:sz w:val="20"/>
        </w:rPr>
      </w:pPr>
    </w:p>
    <w:p>
      <w:pPr>
        <w:spacing w:line="360" w:lineRule="auto"/>
        <w:jc w:val="center"/>
        <w:rPr>
          <w:rFonts w:hint="default" w:ascii="Times New Roman" w:hAnsi="Times New Roman" w:cs="Times New Roman"/>
          <w:b/>
          <w:bCs/>
          <w:color w:val="000000"/>
          <w:sz w:val="48"/>
          <w:szCs w:val="48"/>
        </w:rPr>
      </w:pPr>
    </w:p>
    <w:p>
      <w:pPr>
        <w:widowControl w:val="0"/>
        <w:snapToGrid w:val="0"/>
        <w:spacing w:line="312" w:lineRule="auto"/>
        <w:ind w:firstLine="567"/>
        <w:jc w:val="both"/>
        <w:textAlignment w:val="baseline"/>
        <w:rPr>
          <w:rFonts w:hint="default" w:ascii="Times New Roman" w:hAnsi="Times New Roman" w:eastAsia="宋体" w:cs="Times New Roman"/>
          <w:snapToGrid w:val="0"/>
          <w:color w:val="000000"/>
          <w:spacing w:val="0"/>
          <w:kern w:val="2"/>
          <w:sz w:val="28"/>
          <w:szCs w:val="22"/>
          <w:lang w:val="en-US" w:eastAsia="zh-CN" w:bidi="ar-SA"/>
        </w:rPr>
      </w:pPr>
    </w:p>
    <w:p>
      <w:pPr>
        <w:spacing w:before="312" w:beforeLines="100" w:after="312" w:afterLines="100" w:line="360" w:lineRule="auto"/>
        <w:jc w:val="center"/>
        <w:rPr>
          <w:rFonts w:hint="default" w:ascii="Times New Roman" w:hAnsi="Times New Roman" w:cs="Times New Roman"/>
          <w:b/>
          <w:bCs/>
          <w:color w:val="000000"/>
          <w:sz w:val="48"/>
          <w:szCs w:val="48"/>
        </w:rPr>
      </w:pPr>
      <w:r>
        <w:rPr>
          <w:rFonts w:hint="default" w:ascii="Times New Roman" w:hAnsi="Times New Roman" w:cs="Times New Roman"/>
          <w:b/>
          <w:bCs/>
          <w:color w:val="000000"/>
          <w:sz w:val="48"/>
          <w:szCs w:val="48"/>
        </w:rPr>
        <w:t>山东永聚医药科技</w:t>
      </w:r>
      <w:r>
        <w:rPr>
          <w:rFonts w:hint="eastAsia" w:cs="Times New Roman"/>
          <w:b/>
          <w:bCs/>
          <w:color w:val="000000"/>
          <w:sz w:val="48"/>
          <w:szCs w:val="48"/>
          <w:lang w:val="en-US" w:eastAsia="zh-CN"/>
        </w:rPr>
        <w:t>股份</w:t>
      </w:r>
      <w:r>
        <w:rPr>
          <w:rFonts w:hint="default" w:ascii="Times New Roman" w:hAnsi="Times New Roman" w:cs="Times New Roman"/>
          <w:b/>
          <w:bCs/>
          <w:color w:val="000000"/>
          <w:sz w:val="48"/>
          <w:szCs w:val="48"/>
        </w:rPr>
        <w:t>有限公司</w:t>
      </w:r>
    </w:p>
    <w:p>
      <w:pPr>
        <w:spacing w:before="312" w:beforeLines="100" w:after="312" w:afterLines="100" w:line="360" w:lineRule="auto"/>
        <w:jc w:val="center"/>
        <w:rPr>
          <w:rFonts w:hint="default" w:ascii="Times New Roman" w:hAnsi="Times New Roman" w:cs="Times New Roman"/>
          <w:b/>
          <w:bCs/>
          <w:color w:val="000000"/>
          <w:sz w:val="48"/>
          <w:szCs w:val="48"/>
        </w:rPr>
      </w:pPr>
      <w:r>
        <w:rPr>
          <w:rFonts w:hint="default" w:ascii="Times New Roman" w:hAnsi="Times New Roman" w:cs="Times New Roman"/>
          <w:b/>
          <w:bCs/>
          <w:color w:val="000000"/>
          <w:sz w:val="48"/>
          <w:szCs w:val="48"/>
        </w:rPr>
        <w:t>医药包装产业基地塑料加工制造技术改造</w:t>
      </w:r>
    </w:p>
    <w:p>
      <w:pPr>
        <w:spacing w:before="312" w:beforeLines="100" w:after="312" w:afterLines="100" w:line="360" w:lineRule="auto"/>
        <w:jc w:val="center"/>
        <w:rPr>
          <w:rFonts w:hint="eastAsia" w:ascii="Times New Roman" w:hAnsi="Times New Roman" w:eastAsia="宋体" w:cs="Times New Roman"/>
          <w:b/>
          <w:bCs/>
          <w:color w:val="000000"/>
          <w:sz w:val="48"/>
          <w:szCs w:val="48"/>
          <w:lang w:val="en-US" w:eastAsia="zh-CN"/>
        </w:rPr>
      </w:pPr>
      <w:r>
        <w:rPr>
          <w:rFonts w:hint="default" w:ascii="Times New Roman" w:hAnsi="Times New Roman" w:cs="Times New Roman"/>
          <w:b/>
          <w:bCs/>
          <w:color w:val="000000"/>
          <w:sz w:val="48"/>
          <w:szCs w:val="48"/>
        </w:rPr>
        <w:t>项目竣工环境保护验收监测报告</w:t>
      </w:r>
      <w:r>
        <w:rPr>
          <w:rFonts w:hint="eastAsia" w:cs="Times New Roman"/>
          <w:b/>
          <w:bCs/>
          <w:color w:val="000000"/>
          <w:sz w:val="48"/>
          <w:szCs w:val="48"/>
          <w:lang w:val="en-US" w:eastAsia="zh-CN"/>
        </w:rPr>
        <w:t>表</w:t>
      </w:r>
    </w:p>
    <w:p>
      <w:pPr>
        <w:jc w:val="center"/>
        <w:rPr>
          <w:rFonts w:hint="default" w:ascii="Times New Roman" w:hAnsi="Times New Roman" w:cs="Times New Roman"/>
          <w:b/>
          <w:bCs/>
          <w:color w:val="000000"/>
          <w:sz w:val="48"/>
          <w:szCs w:val="48"/>
        </w:rPr>
      </w:pPr>
    </w:p>
    <w:p>
      <w:pPr>
        <w:spacing w:line="360" w:lineRule="auto"/>
        <w:jc w:val="center"/>
        <w:rPr>
          <w:rFonts w:hint="default" w:ascii="Times New Roman" w:hAnsi="Times New Roman" w:cs="Times New Roman"/>
          <w:color w:val="000000"/>
          <w:sz w:val="22"/>
          <w:szCs w:val="22"/>
        </w:rPr>
      </w:pPr>
    </w:p>
    <w:p>
      <w:pPr>
        <w:spacing w:line="360" w:lineRule="auto"/>
        <w:jc w:val="center"/>
        <w:rPr>
          <w:rFonts w:hint="default" w:ascii="Times New Roman" w:hAnsi="Times New Roman" w:cs="Times New Roman"/>
          <w:color w:val="000000"/>
          <w:sz w:val="22"/>
          <w:szCs w:val="22"/>
        </w:rPr>
      </w:pPr>
    </w:p>
    <w:p>
      <w:pPr>
        <w:spacing w:line="360" w:lineRule="auto"/>
        <w:jc w:val="center"/>
        <w:rPr>
          <w:rFonts w:hint="default" w:ascii="Times New Roman" w:hAnsi="Times New Roman" w:cs="Times New Roman"/>
          <w:color w:val="000000"/>
          <w:sz w:val="22"/>
          <w:szCs w:val="22"/>
        </w:rPr>
      </w:pPr>
    </w:p>
    <w:p>
      <w:pPr>
        <w:spacing w:before="156" w:beforeLines="50" w:line="360" w:lineRule="auto"/>
        <w:jc w:val="center"/>
        <w:rPr>
          <w:rFonts w:hint="default" w:ascii="Times New Roman" w:hAnsi="Times New Roman" w:cs="Times New Roman"/>
          <w:b/>
          <w:color w:val="000000"/>
          <w:sz w:val="24"/>
        </w:rPr>
      </w:pPr>
    </w:p>
    <w:p>
      <w:pPr>
        <w:spacing w:before="156" w:beforeLines="50" w:line="360" w:lineRule="auto"/>
        <w:jc w:val="center"/>
        <w:rPr>
          <w:rFonts w:hint="default" w:ascii="Times New Roman" w:hAnsi="Times New Roman" w:cs="Times New Roman"/>
          <w:b/>
          <w:color w:val="000000"/>
          <w:sz w:val="24"/>
        </w:rPr>
      </w:pPr>
    </w:p>
    <w:p>
      <w:pPr>
        <w:widowControl w:val="0"/>
        <w:snapToGrid w:val="0"/>
        <w:spacing w:line="312" w:lineRule="auto"/>
        <w:ind w:firstLine="567"/>
        <w:jc w:val="both"/>
        <w:textAlignment w:val="baseline"/>
        <w:rPr>
          <w:rFonts w:hint="default" w:ascii="Times New Roman" w:hAnsi="Times New Roman" w:eastAsia="宋体" w:cs="Times New Roman"/>
          <w:snapToGrid w:val="0"/>
          <w:color w:val="000000"/>
          <w:spacing w:val="0"/>
          <w:kern w:val="2"/>
          <w:sz w:val="22"/>
          <w:szCs w:val="22"/>
          <w:lang w:val="en-US" w:eastAsia="zh-CN" w:bidi="ar-SA"/>
        </w:rPr>
      </w:pPr>
    </w:p>
    <w:p>
      <w:pPr>
        <w:rPr>
          <w:rFonts w:hint="default" w:ascii="Times New Roman" w:hAnsi="Times New Roman" w:cs="Times New Roman"/>
          <w:color w:val="000000"/>
          <w:sz w:val="22"/>
          <w:szCs w:val="22"/>
        </w:rPr>
      </w:pPr>
    </w:p>
    <w:p>
      <w:pPr>
        <w:widowControl w:val="0"/>
        <w:snapToGrid w:val="0"/>
        <w:spacing w:line="312" w:lineRule="auto"/>
        <w:ind w:firstLine="567"/>
        <w:jc w:val="both"/>
        <w:textAlignment w:val="baseline"/>
        <w:rPr>
          <w:rFonts w:hint="default" w:ascii="Times New Roman" w:hAnsi="Times New Roman" w:eastAsia="宋体" w:cs="Times New Roman"/>
          <w:snapToGrid w:val="0"/>
          <w:color w:val="000000"/>
          <w:spacing w:val="0"/>
          <w:kern w:val="2"/>
          <w:sz w:val="28"/>
          <w:szCs w:val="22"/>
          <w:lang w:val="en-US" w:eastAsia="zh-CN" w:bidi="ar-SA"/>
        </w:rPr>
      </w:pPr>
    </w:p>
    <w:p>
      <w:pPr>
        <w:spacing w:line="360" w:lineRule="auto"/>
        <w:jc w:val="center"/>
        <w:rPr>
          <w:rFonts w:hint="default" w:ascii="Times New Roman" w:hAnsi="Times New Roman" w:cs="Times New Roman"/>
          <w:color w:val="000000"/>
          <w:sz w:val="22"/>
          <w:szCs w:val="22"/>
        </w:rPr>
      </w:pPr>
    </w:p>
    <w:p>
      <w:pPr>
        <w:spacing w:line="360" w:lineRule="auto"/>
        <w:jc w:val="center"/>
        <w:rPr>
          <w:rFonts w:hint="default" w:ascii="Times New Roman" w:hAnsi="Times New Roman" w:cs="Times New Roman"/>
          <w:color w:val="000000"/>
          <w:sz w:val="22"/>
          <w:szCs w:val="22"/>
        </w:rPr>
      </w:pPr>
    </w:p>
    <w:p>
      <w:pPr>
        <w:spacing w:line="360" w:lineRule="auto"/>
        <w:rPr>
          <w:rFonts w:hint="default" w:ascii="Times New Roman" w:hAnsi="Times New Roman" w:cs="Times New Roman"/>
          <w:color w:val="000000"/>
          <w:sz w:val="22"/>
          <w:szCs w:val="22"/>
          <w:u w:val="single"/>
        </w:rPr>
      </w:pPr>
    </w:p>
    <w:p>
      <w:pPr>
        <w:spacing w:line="360" w:lineRule="auto"/>
        <w:jc w:val="center"/>
        <w:rPr>
          <w:rFonts w:hint="default" w:ascii="Times New Roman" w:hAnsi="Times New Roman" w:cs="Times New Roman"/>
          <w:color w:val="000000"/>
          <w:kern w:val="0"/>
          <w:sz w:val="22"/>
        </w:rPr>
      </w:pPr>
    </w:p>
    <w:p>
      <w:pPr>
        <w:spacing w:line="360" w:lineRule="auto"/>
        <w:jc w:val="center"/>
        <w:rPr>
          <w:rFonts w:hint="default" w:ascii="Times New Roman" w:hAnsi="Times New Roman" w:eastAsia="宋体" w:cs="Times New Roman"/>
          <w:color w:val="000000"/>
          <w:sz w:val="32"/>
          <w:szCs w:val="32"/>
          <w:lang w:eastAsia="zh-CN"/>
        </w:rPr>
      </w:pPr>
      <w:r>
        <w:rPr>
          <w:rFonts w:hint="default" w:ascii="Times New Roman" w:hAnsi="Times New Roman" w:cs="Times New Roman"/>
          <w:color w:val="000000"/>
          <w:sz w:val="32"/>
          <w:szCs w:val="32"/>
          <w:lang w:val="en-US" w:eastAsia="zh-CN"/>
        </w:rPr>
        <w:t>建设单位：</w:t>
      </w:r>
      <w:r>
        <w:rPr>
          <w:rFonts w:hint="default" w:ascii="Times New Roman" w:hAnsi="Times New Roman" w:cs="Times New Roman"/>
          <w:color w:val="000000"/>
          <w:sz w:val="32"/>
          <w:szCs w:val="32"/>
        </w:rPr>
        <w:t>山东永聚医药科技股份有限公司</w:t>
      </w:r>
    </w:p>
    <w:p>
      <w:pPr>
        <w:jc w:val="center"/>
        <w:rPr>
          <w:rFonts w:hint="default" w:ascii="Times New Roman" w:hAnsi="Times New Roman" w:cs="Times New Roman"/>
          <w:color w:val="000000"/>
          <w:sz w:val="32"/>
          <w:szCs w:val="32"/>
        </w:rPr>
        <w:sectPr>
          <w:footerReference r:id="rId3"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color w:val="000000"/>
          <w:sz w:val="32"/>
          <w:szCs w:val="32"/>
        </w:rPr>
        <w:t>二零二三年</w:t>
      </w:r>
      <w:r>
        <w:rPr>
          <w:rFonts w:hint="eastAsia" w:cs="Times New Roman"/>
          <w:color w:val="000000"/>
          <w:sz w:val="32"/>
          <w:szCs w:val="32"/>
          <w:lang w:val="en-US" w:eastAsia="zh-CN"/>
        </w:rPr>
        <w:t>十</w:t>
      </w:r>
      <w:r>
        <w:rPr>
          <w:rFonts w:hint="default" w:ascii="Times New Roman" w:hAnsi="Times New Roman" w:cs="Times New Roman"/>
          <w:color w:val="000000"/>
          <w:sz w:val="32"/>
          <w:szCs w:val="32"/>
        </w:rPr>
        <w:t>月</w:t>
      </w:r>
    </w:p>
    <w:p>
      <w:pPr>
        <w:spacing w:line="360" w:lineRule="auto"/>
        <w:jc w:val="both"/>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lang w:eastAsia="zh-CN"/>
        </w:rPr>
        <w:t>建设单位</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lang w:val="en-US" w:eastAsia="zh-CN"/>
        </w:rPr>
        <w:t>山东永聚医药科技股份有限公司</w:t>
      </w:r>
    </w:p>
    <w:p>
      <w:pPr>
        <w:spacing w:line="360" w:lineRule="auto"/>
        <w:jc w:val="both"/>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lang w:eastAsia="zh-CN"/>
        </w:rPr>
        <w:t>项目名称</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lang w:val="en-US" w:eastAsia="zh-CN"/>
        </w:rPr>
        <w:t>医药包装产业基地塑料加工制造技术改造项目</w:t>
      </w:r>
    </w:p>
    <w:p>
      <w:pPr>
        <w:spacing w:line="360" w:lineRule="auto"/>
        <w:jc w:val="both"/>
        <w:rPr>
          <w:rFonts w:hint="default" w:ascii="Times New Roman" w:hAnsi="Times New Roman" w:cs="Times New Roman"/>
          <w:color w:val="auto"/>
          <w:sz w:val="28"/>
          <w:szCs w:val="28"/>
          <w:lang w:eastAsia="zh-CN"/>
        </w:rPr>
      </w:pPr>
      <w:r>
        <w:rPr>
          <w:rFonts w:hint="default" w:ascii="Times New Roman" w:hAnsi="Times New Roman" w:cs="Times New Roman"/>
          <w:color w:val="auto"/>
          <w:sz w:val="28"/>
          <w:lang w:eastAsia="zh-CN"/>
        </w:rPr>
        <w:t>建设地址</w:t>
      </w:r>
      <w:r>
        <w:rPr>
          <w:rFonts w:hint="default" w:ascii="Times New Roman" w:hAnsi="Times New Roman" w:cs="Times New Roman"/>
          <w:color w:val="auto"/>
          <w:sz w:val="28"/>
          <w:szCs w:val="28"/>
          <w:lang w:eastAsia="zh-CN"/>
        </w:rPr>
        <w:t>：山东省淄博市临淄区凤凰镇宏达路1618号山东永聚医药科技</w:t>
      </w:r>
      <w:r>
        <w:rPr>
          <w:rFonts w:hint="eastAsia" w:cs="Times New Roman"/>
          <w:color w:val="auto"/>
          <w:sz w:val="28"/>
          <w:szCs w:val="28"/>
          <w:lang w:val="en-US" w:eastAsia="zh-CN"/>
        </w:rPr>
        <w:t>股份</w:t>
      </w:r>
      <w:r>
        <w:rPr>
          <w:rFonts w:hint="default" w:ascii="Times New Roman" w:hAnsi="Times New Roman" w:cs="Times New Roman"/>
          <w:color w:val="auto"/>
          <w:sz w:val="28"/>
          <w:szCs w:val="28"/>
          <w:lang w:eastAsia="zh-CN"/>
        </w:rPr>
        <w:t xml:space="preserve">有限公司现有厂区内 </w:t>
      </w:r>
    </w:p>
    <w:p>
      <w:pPr>
        <w:pStyle w:val="7"/>
        <w:spacing w:line="360" w:lineRule="auto"/>
        <w:rPr>
          <w:rFonts w:hint="default" w:ascii="Times New Roman" w:hAnsi="Times New Roman" w:cs="Times New Roman"/>
          <w:color w:val="auto"/>
          <w:sz w:val="30"/>
          <w:lang w:eastAsia="zh-CN"/>
        </w:rPr>
      </w:pPr>
      <w:r>
        <w:rPr>
          <w:rFonts w:hint="default" w:ascii="Times New Roman" w:hAnsi="Times New Roman" w:cs="Times New Roman"/>
          <w:color w:val="auto"/>
          <w:sz w:val="28"/>
          <w:lang w:eastAsia="zh-CN"/>
        </w:rPr>
        <w:t>文件类型</w:t>
      </w:r>
      <w:r>
        <w:rPr>
          <w:rFonts w:hint="default" w:ascii="Times New Roman" w:hAnsi="Times New Roman" w:cs="Times New Roman"/>
          <w:color w:val="auto"/>
          <w:sz w:val="28"/>
          <w:szCs w:val="28"/>
          <w:lang w:eastAsia="zh-CN"/>
        </w:rPr>
        <w:t>：建设项目竣工环境保护验收监测报告表</w:t>
      </w:r>
    </w:p>
    <w:p>
      <w:pPr>
        <w:spacing w:line="360" w:lineRule="auto"/>
        <w:ind w:left="111"/>
        <w:rPr>
          <w:rFonts w:hint="default" w:ascii="Times New Roman" w:hAnsi="Times New Roman" w:cs="Times New Roman"/>
          <w:color w:val="auto"/>
          <w:sz w:val="28"/>
          <w:szCs w:val="28"/>
          <w:lang w:eastAsia="zh-CN"/>
        </w:rPr>
      </w:pPr>
    </w:p>
    <w:p>
      <w:pPr>
        <w:spacing w:line="360" w:lineRule="auto"/>
        <w:ind w:left="111"/>
        <w:rPr>
          <w:rFonts w:hint="default" w:ascii="Times New Roman" w:hAnsi="Times New Roman" w:cs="Times New Roman"/>
          <w:color w:val="auto"/>
          <w:sz w:val="28"/>
          <w:szCs w:val="28"/>
          <w:lang w:eastAsia="zh-CN"/>
        </w:rPr>
      </w:pPr>
    </w:p>
    <w:p>
      <w:pPr>
        <w:spacing w:line="360" w:lineRule="auto"/>
        <w:ind w:left="111"/>
        <w:rPr>
          <w:rFonts w:hint="default" w:ascii="Times New Roman" w:hAnsi="Times New Roman" w:cs="Times New Roman"/>
          <w:color w:val="auto"/>
          <w:sz w:val="28"/>
          <w:szCs w:val="28"/>
          <w:lang w:eastAsia="zh-CN"/>
        </w:rPr>
      </w:pPr>
    </w:p>
    <w:p>
      <w:pPr>
        <w:spacing w:line="360" w:lineRule="auto"/>
        <w:ind w:left="111"/>
        <w:rPr>
          <w:rFonts w:hint="default" w:ascii="Times New Roman" w:hAnsi="Times New Roman" w:cs="Times New Roman"/>
          <w:color w:val="auto"/>
          <w:sz w:val="28"/>
          <w:szCs w:val="28"/>
          <w:lang w:eastAsia="zh-CN"/>
        </w:rPr>
      </w:pPr>
    </w:p>
    <w:p>
      <w:pPr>
        <w:spacing w:line="360" w:lineRule="auto"/>
        <w:ind w:left="111"/>
        <w:rPr>
          <w:rFonts w:hint="default" w:ascii="Times New Roman" w:hAnsi="Times New Roman" w:cs="Times New Roman"/>
          <w:color w:val="auto"/>
          <w:sz w:val="28"/>
          <w:szCs w:val="28"/>
          <w:lang w:eastAsia="zh-CN"/>
        </w:rPr>
      </w:pPr>
    </w:p>
    <w:p>
      <w:pPr>
        <w:spacing w:line="360" w:lineRule="auto"/>
        <w:ind w:left="111"/>
        <w:rPr>
          <w:rFonts w:hint="default" w:ascii="Times New Roman" w:hAnsi="Times New Roman" w:cs="Times New Roman"/>
          <w:color w:val="auto"/>
          <w:sz w:val="28"/>
          <w:szCs w:val="28"/>
          <w:lang w:eastAsia="zh-CN"/>
        </w:rPr>
      </w:pPr>
    </w:p>
    <w:p>
      <w:pPr>
        <w:spacing w:line="360" w:lineRule="auto"/>
        <w:ind w:left="111"/>
        <w:rPr>
          <w:rFonts w:hint="default" w:ascii="Times New Roman" w:hAnsi="Times New Roman" w:cs="Times New Roman"/>
          <w:color w:val="auto"/>
          <w:sz w:val="28"/>
          <w:szCs w:val="28"/>
          <w:lang w:eastAsia="zh-CN"/>
        </w:rPr>
      </w:pPr>
    </w:p>
    <w:p>
      <w:pPr>
        <w:spacing w:line="360" w:lineRule="auto"/>
        <w:ind w:left="111"/>
        <w:rPr>
          <w:rFonts w:hint="default" w:ascii="Times New Roman" w:hAnsi="Times New Roman" w:cs="Times New Roman"/>
          <w:color w:val="auto"/>
          <w:sz w:val="28"/>
          <w:szCs w:val="28"/>
          <w:lang w:eastAsia="zh-CN"/>
        </w:rPr>
      </w:pPr>
    </w:p>
    <w:p>
      <w:pPr>
        <w:spacing w:line="360" w:lineRule="auto"/>
        <w:ind w:left="111"/>
        <w:rPr>
          <w:rFonts w:hint="default" w:ascii="Times New Roman" w:hAnsi="Times New Roman" w:cs="Times New Roman"/>
          <w:color w:val="auto"/>
          <w:sz w:val="28"/>
          <w:szCs w:val="28"/>
          <w:lang w:eastAsia="zh-CN"/>
        </w:rPr>
      </w:pPr>
    </w:p>
    <w:p>
      <w:pPr>
        <w:spacing w:line="360" w:lineRule="auto"/>
        <w:ind w:left="111"/>
        <w:rPr>
          <w:rFonts w:hint="default" w:ascii="Times New Roman" w:hAnsi="Times New Roman" w:cs="Times New Roman"/>
          <w:color w:val="auto"/>
          <w:sz w:val="28"/>
          <w:szCs w:val="28"/>
          <w:lang w:eastAsia="zh-CN"/>
        </w:rPr>
      </w:pPr>
    </w:p>
    <w:p>
      <w:pPr>
        <w:spacing w:line="360" w:lineRule="auto"/>
        <w:ind w:left="111"/>
        <w:rPr>
          <w:rFonts w:hint="default" w:ascii="Times New Roman" w:hAnsi="Times New Roman" w:cs="Times New Roman"/>
          <w:color w:val="auto"/>
          <w:sz w:val="28"/>
          <w:szCs w:val="28"/>
          <w:lang w:eastAsia="zh-CN"/>
        </w:rPr>
      </w:pPr>
    </w:p>
    <w:p>
      <w:pPr>
        <w:spacing w:line="360" w:lineRule="auto"/>
        <w:ind w:left="111"/>
        <w:rPr>
          <w:rFonts w:hint="default" w:ascii="Times New Roman" w:hAnsi="Times New Roman" w:cs="Times New Roman"/>
          <w:color w:val="auto"/>
          <w:sz w:val="28"/>
          <w:szCs w:val="28"/>
          <w:lang w:eastAsia="zh-CN"/>
        </w:rPr>
      </w:pPr>
    </w:p>
    <w:p>
      <w:pPr>
        <w:spacing w:line="360" w:lineRule="auto"/>
        <w:ind w:left="111"/>
        <w:rPr>
          <w:rFonts w:hint="default" w:ascii="Times New Roman" w:hAnsi="Times New Roman" w:cs="Times New Roman"/>
          <w:color w:val="auto"/>
          <w:sz w:val="28"/>
          <w:szCs w:val="28"/>
          <w:lang w:eastAsia="zh-CN"/>
        </w:rPr>
      </w:pPr>
    </w:p>
    <w:p>
      <w:pPr>
        <w:spacing w:line="360" w:lineRule="auto"/>
        <w:ind w:left="111"/>
        <w:rPr>
          <w:rFonts w:hint="default" w:ascii="Times New Roman" w:hAnsi="Times New Roman" w:cs="Times New Roman"/>
          <w:color w:val="auto"/>
          <w:sz w:val="28"/>
          <w:szCs w:val="28"/>
          <w:lang w:eastAsia="zh-CN"/>
        </w:rPr>
      </w:pPr>
    </w:p>
    <w:p>
      <w:pPr>
        <w:spacing w:line="360" w:lineRule="auto"/>
        <w:ind w:left="111"/>
        <w:rPr>
          <w:rFonts w:hint="default" w:ascii="Times New Roman" w:hAnsi="Times New Roman" w:cs="Times New Roman"/>
          <w:color w:val="auto"/>
          <w:sz w:val="28"/>
          <w:szCs w:val="28"/>
          <w:lang w:eastAsia="zh-CN"/>
        </w:rPr>
      </w:pPr>
    </w:p>
    <w:p>
      <w:pPr>
        <w:spacing w:line="360" w:lineRule="auto"/>
        <w:ind w:left="111"/>
        <w:rPr>
          <w:rFonts w:hint="default" w:ascii="Times New Roman" w:hAnsi="Times New Roman" w:cs="Times New Roman"/>
          <w:color w:val="auto"/>
          <w:sz w:val="28"/>
          <w:szCs w:val="28"/>
          <w:lang w:eastAsia="zh-CN"/>
        </w:rPr>
      </w:pPr>
    </w:p>
    <w:p>
      <w:pPr>
        <w:pStyle w:val="18"/>
        <w:ind w:left="440" w:firstLine="400"/>
        <w:rPr>
          <w:rFonts w:hint="default" w:ascii="Times New Roman" w:hAnsi="Times New Roman" w:cs="Times New Roman"/>
          <w:color w:val="auto"/>
          <w:lang w:eastAsia="zh-CN"/>
        </w:rPr>
      </w:pPr>
    </w:p>
    <w:p>
      <w:pPr>
        <w:widowControl/>
        <w:adjustRightInd w:val="0"/>
        <w:snapToGrid w:val="0"/>
        <w:spacing w:line="360" w:lineRule="auto"/>
        <w:rPr>
          <w:rFonts w:hint="default" w:ascii="Times New Roman" w:hAnsi="Times New Roman" w:cs="Times New Roman"/>
          <w:bCs/>
          <w:color w:val="auto"/>
          <w:sz w:val="28"/>
        </w:rPr>
      </w:pPr>
      <w:r>
        <w:rPr>
          <w:rFonts w:hint="default" w:ascii="Times New Roman" w:hAnsi="Times New Roman" w:cs="Times New Roman"/>
          <w:bCs/>
          <w:color w:val="auto"/>
          <w:sz w:val="28"/>
        </w:rPr>
        <w:t>检测单位：淄博国源检测有限公司</w:t>
      </w:r>
    </w:p>
    <w:p>
      <w:pPr>
        <w:widowControl/>
        <w:adjustRightInd w:val="0"/>
        <w:snapToGrid w:val="0"/>
        <w:spacing w:line="360" w:lineRule="auto"/>
        <w:rPr>
          <w:rFonts w:hint="default" w:ascii="Times New Roman" w:hAnsi="Times New Roman" w:cs="Times New Roman"/>
          <w:bCs/>
          <w:color w:val="auto"/>
          <w:sz w:val="28"/>
        </w:rPr>
      </w:pPr>
      <w:r>
        <w:rPr>
          <w:rFonts w:hint="default" w:ascii="Times New Roman" w:hAnsi="Times New Roman" w:cs="Times New Roman"/>
          <w:bCs/>
          <w:color w:val="auto"/>
          <w:sz w:val="28"/>
        </w:rPr>
        <w:t>电话：（053</w:t>
      </w:r>
      <w:r>
        <w:rPr>
          <w:rFonts w:hint="default" w:ascii="Times New Roman" w:hAnsi="Times New Roman" w:cs="Times New Roman"/>
          <w:bCs/>
          <w:color w:val="auto"/>
          <w:sz w:val="28"/>
          <w:lang w:val="en-US" w:eastAsia="zh-CN"/>
        </w:rPr>
        <w:t>3</w:t>
      </w:r>
      <w:r>
        <w:rPr>
          <w:rFonts w:hint="default" w:ascii="Times New Roman" w:hAnsi="Times New Roman" w:cs="Times New Roman"/>
          <w:bCs/>
          <w:color w:val="auto"/>
          <w:sz w:val="28"/>
        </w:rPr>
        <w:t>）7859830</w:t>
      </w:r>
    </w:p>
    <w:p>
      <w:pPr>
        <w:widowControl/>
        <w:adjustRightInd w:val="0"/>
        <w:snapToGrid w:val="0"/>
        <w:spacing w:line="360" w:lineRule="auto"/>
        <w:rPr>
          <w:rFonts w:hint="default" w:ascii="Times New Roman" w:hAnsi="Times New Roman" w:cs="Times New Roman"/>
          <w:bCs/>
          <w:color w:val="auto"/>
          <w:sz w:val="28"/>
        </w:rPr>
      </w:pPr>
      <w:r>
        <w:rPr>
          <w:rFonts w:hint="default" w:ascii="Times New Roman" w:hAnsi="Times New Roman" w:cs="Times New Roman"/>
          <w:bCs/>
          <w:color w:val="auto"/>
          <w:sz w:val="28"/>
        </w:rPr>
        <w:t>邮编：25</w:t>
      </w:r>
      <w:r>
        <w:rPr>
          <w:rFonts w:hint="default" w:ascii="Times New Roman" w:hAnsi="Times New Roman" w:cs="Times New Roman"/>
          <w:bCs/>
          <w:color w:val="auto"/>
          <w:sz w:val="28"/>
          <w:lang w:val="en-US" w:eastAsia="zh-CN"/>
        </w:rPr>
        <w:t>40</w:t>
      </w:r>
      <w:r>
        <w:rPr>
          <w:rFonts w:hint="default" w:ascii="Times New Roman" w:hAnsi="Times New Roman" w:cs="Times New Roman"/>
          <w:bCs/>
          <w:color w:val="auto"/>
          <w:sz w:val="28"/>
        </w:rPr>
        <w:t>00</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left"/>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cs="Times New Roman"/>
          <w:bCs/>
          <w:color w:val="auto"/>
          <w:sz w:val="28"/>
        </w:rPr>
        <w:t>地址：山东省</w:t>
      </w:r>
      <w:r>
        <w:rPr>
          <w:rFonts w:hint="default" w:ascii="Times New Roman" w:hAnsi="Times New Roman" w:cs="Times New Roman"/>
          <w:bCs/>
          <w:color w:val="auto"/>
          <w:sz w:val="28"/>
          <w:lang w:val="en-US" w:eastAsia="zh-CN"/>
        </w:rPr>
        <w:t>淄博市</w:t>
      </w:r>
      <w:r>
        <w:rPr>
          <w:rFonts w:hint="default" w:ascii="Times New Roman" w:hAnsi="Times New Roman" w:cs="Times New Roman"/>
          <w:bCs/>
          <w:color w:val="auto"/>
          <w:sz w:val="28"/>
        </w:rPr>
        <w:t>临淄区齐陵路56号</w:t>
      </w:r>
    </w:p>
    <w:p>
      <w:pPr>
        <w:spacing w:line="360" w:lineRule="auto"/>
        <w:rPr>
          <w:rFonts w:hint="default" w:ascii="Times New Roman" w:hAnsi="Times New Roman" w:cs="Times New Roman"/>
          <w:color w:val="auto"/>
          <w:sz w:val="28"/>
          <w:szCs w:val="28"/>
          <w:lang w:eastAsia="zh-CN"/>
        </w:rPr>
      </w:pPr>
    </w:p>
    <w:p>
      <w:pPr>
        <w:spacing w:line="360" w:lineRule="auto"/>
        <w:ind w:left="111"/>
        <w:rPr>
          <w:rFonts w:hint="default" w:ascii="Times New Roman" w:hAnsi="Times New Roman" w:cs="Times New Roman"/>
          <w:color w:val="auto"/>
          <w:sz w:val="28"/>
          <w:szCs w:val="28"/>
          <w:lang w:eastAsia="zh-CN"/>
        </w:rPr>
      </w:pPr>
    </w:p>
    <w:p>
      <w:pPr>
        <w:pStyle w:val="2"/>
        <w:numPr>
          <w:ilvl w:val="0"/>
          <w:numId w:val="0"/>
        </w:numPr>
        <w:spacing w:line="240" w:lineRule="auto"/>
        <w:jc w:val="center"/>
        <w:rPr>
          <w:rFonts w:hint="default" w:ascii="Times New Roman" w:hAnsi="Times New Roman" w:cs="Times New Roman"/>
          <w:color w:val="auto"/>
          <w:sz w:val="32"/>
          <w:lang w:eastAsia="zh-CN"/>
        </w:rPr>
      </w:pPr>
      <w:r>
        <w:rPr>
          <w:rFonts w:hint="default" w:ascii="Times New Roman" w:hAnsi="Times New Roman" w:cs="Times New Roman"/>
          <w:color w:val="auto"/>
          <w:sz w:val="32"/>
          <w:lang w:eastAsia="zh-CN"/>
        </w:rPr>
        <w:t>前言</w:t>
      </w:r>
    </w:p>
    <w:p>
      <w:pPr>
        <w:pStyle w:val="18"/>
        <w:keepNext w:val="0"/>
        <w:keepLines w:val="0"/>
        <w:pageBreakBefore w:val="0"/>
        <w:widowControl w:val="0"/>
        <w:kinsoku/>
        <w:wordWrap w:val="0"/>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山东永聚医药科技</w:t>
      </w:r>
      <w:r>
        <w:rPr>
          <w:rFonts w:hint="eastAsia" w:cs="Times New Roman"/>
          <w:color w:val="auto"/>
          <w:sz w:val="24"/>
          <w:highlight w:val="none"/>
          <w:lang w:val="en-US" w:eastAsia="zh-CN"/>
        </w:rPr>
        <w:t>股份</w:t>
      </w:r>
      <w:r>
        <w:rPr>
          <w:rFonts w:hint="default" w:ascii="Times New Roman" w:hAnsi="Times New Roman" w:eastAsia="宋体" w:cs="Times New Roman"/>
          <w:color w:val="auto"/>
          <w:sz w:val="24"/>
          <w:highlight w:val="none"/>
          <w:lang w:eastAsia="zh-CN"/>
        </w:rPr>
        <w:t>有限公司</w:t>
      </w:r>
      <w:r>
        <w:rPr>
          <w:rFonts w:hint="eastAsia" w:cs="Times New Roman"/>
          <w:color w:val="auto"/>
          <w:sz w:val="24"/>
          <w:highlight w:val="none"/>
          <w:lang w:val="en-US" w:eastAsia="zh-CN"/>
        </w:rPr>
        <w:t>原名为山东永聚医药科技有限公司（于2023年8月1日更名，详见附件1），</w:t>
      </w:r>
      <w:r>
        <w:rPr>
          <w:rFonts w:hint="default" w:ascii="Times New Roman" w:hAnsi="Times New Roman" w:eastAsia="宋体" w:cs="Times New Roman"/>
          <w:color w:val="auto"/>
          <w:sz w:val="24"/>
          <w:highlight w:val="none"/>
          <w:lang w:eastAsia="zh-CN"/>
        </w:rPr>
        <w:t>成立于2009年11月12日，坐落于淄博市临淄区宏达路1618号，位于淄博市临淄区经济开发区内，隶属于齐都药业集团，是一家集医药包装材料、食品包装材料、医用耗材、医疗器械的研发、生产和销售于一体的国家高新技术企业；注册资金为4300万元，法人代表为郑晓宁，统一社会信用代码为91370305696875998C；公司经营范围塑料制品制造、塑料制品销售、食品用塑料包装容器工具制品销售、医用包装材料制造、包装材料及制品销售、第一类医疗器械生产、第二类医疗器械销售、第一类医疗器械销售、新材料技术研发、技术服务、技术开发、技术咨询、技术交流、技术转让、技术推广、化工产品销售（不含许可类化工产品）等。</w:t>
      </w:r>
    </w:p>
    <w:p>
      <w:pPr>
        <w:pStyle w:val="18"/>
        <w:keepNext w:val="0"/>
        <w:keepLines w:val="0"/>
        <w:pageBreakBefore w:val="0"/>
        <w:widowControl w:val="0"/>
        <w:kinsoku/>
        <w:wordWrap w:val="0"/>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企业现有《医药包装产业基地项目环境影响报告表》于2018 年3月28日由原淄博市环境保护局临淄分局审批，审批文号临环审字［2018］33 号，目前医药包装产业基地项目（一期）于2021年7月完成自主验收；《医药包装产业基地技术升级改造项目环境影响报告表》于2021年9月30日由淄博市生态环境局临淄分局审批，审批文号临环审字［2021］066 号；医药包装产业基地技术升级改造项目于2023年4月完成自主验收。</w:t>
      </w:r>
    </w:p>
    <w:p>
      <w:pPr>
        <w:pStyle w:val="18"/>
        <w:keepNext w:val="0"/>
        <w:keepLines w:val="0"/>
        <w:pageBreakBefore w:val="0"/>
        <w:widowControl w:val="0"/>
        <w:kinsoku/>
        <w:wordWrap w:val="0"/>
        <w:overflowPunct/>
        <w:topLinePunct w:val="0"/>
        <w:autoSpaceDE/>
        <w:autoSpaceDN/>
        <w:bidi w:val="0"/>
        <w:adjustRightInd/>
        <w:snapToGrid/>
        <w:spacing w:after="0" w:line="360" w:lineRule="auto"/>
        <w:ind w:left="0" w:leftChars="0" w:firstLine="480" w:firstLineChars="200"/>
        <w:jc w:val="both"/>
        <w:textAlignment w:val="auto"/>
        <w:rPr>
          <w:rFonts w:hint="eastAsia"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项目</w:t>
      </w:r>
      <w:r>
        <w:rPr>
          <w:rFonts w:hint="eastAsia" w:cs="Times New Roman"/>
          <w:kern w:val="2"/>
          <w:sz w:val="24"/>
          <w:szCs w:val="24"/>
          <w:highlight w:val="none"/>
          <w:lang w:val="en-US" w:eastAsia="zh-CN" w:bidi="ar-SA"/>
        </w:rPr>
        <w:t>位于临淄区凤凰镇宏达路1618号山东永聚医药科技股份有限公司现有厂区内，总投资5200万元，利用现有已建车间进行建设，在现有2#车间1F部分区域进行改造，新增一条预灌封注射器生产线、一条预充管生产线、一条西林瓶生产线；购置配套的注塑机、吹瓶机、空压机等国产设备或国外先进设备，水电等公用工程依托现有，项目建成后实现年产预灌封注射器1980万支、预充管6720万支、西林瓶1900万只的生产能力。</w:t>
      </w:r>
    </w:p>
    <w:p>
      <w:pPr>
        <w:pStyle w:val="18"/>
        <w:keepNext w:val="0"/>
        <w:keepLines w:val="0"/>
        <w:pageBreakBefore w:val="0"/>
        <w:widowControl w:val="0"/>
        <w:kinsoku/>
        <w:wordWrap w:val="0"/>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w:t>
      </w:r>
      <w:r>
        <w:rPr>
          <w:rFonts w:hint="eastAsia" w:cs="Times New Roman"/>
          <w:kern w:val="2"/>
          <w:sz w:val="24"/>
          <w:szCs w:val="24"/>
          <w:highlight w:val="none"/>
          <w:lang w:val="en-US" w:eastAsia="zh-CN" w:bidi="ar-SA"/>
        </w:rPr>
        <w:t>医药包装产业基地塑料加工制造技术改造项目</w:t>
      </w:r>
      <w:r>
        <w:rPr>
          <w:rFonts w:hint="default" w:ascii="Times New Roman" w:hAnsi="Times New Roman" w:eastAsia="宋体" w:cs="Times New Roman"/>
          <w:kern w:val="2"/>
          <w:sz w:val="24"/>
          <w:szCs w:val="24"/>
          <w:highlight w:val="none"/>
          <w:lang w:val="en-US" w:eastAsia="zh-CN" w:bidi="ar-SA"/>
        </w:rPr>
        <w:t>环境影响报告</w:t>
      </w:r>
      <w:r>
        <w:rPr>
          <w:rFonts w:hint="eastAsia" w:cs="Times New Roman"/>
          <w:kern w:val="2"/>
          <w:sz w:val="24"/>
          <w:szCs w:val="24"/>
          <w:highlight w:val="none"/>
          <w:lang w:val="en-US" w:eastAsia="zh-CN" w:bidi="ar-SA"/>
        </w:rPr>
        <w:t>表</w:t>
      </w:r>
      <w:r>
        <w:rPr>
          <w:rFonts w:hint="default" w:ascii="Times New Roman" w:hAnsi="Times New Roman" w:eastAsia="宋体" w:cs="Times New Roman"/>
          <w:kern w:val="2"/>
          <w:sz w:val="24"/>
          <w:szCs w:val="24"/>
          <w:highlight w:val="none"/>
          <w:lang w:val="en-US" w:eastAsia="zh-CN" w:bidi="ar-SA"/>
        </w:rPr>
        <w:t>》于202</w:t>
      </w:r>
      <w:r>
        <w:rPr>
          <w:rFonts w:hint="eastAsia" w:cs="Times New Roman"/>
          <w:kern w:val="2"/>
          <w:sz w:val="24"/>
          <w:szCs w:val="24"/>
          <w:highlight w:val="none"/>
          <w:lang w:val="en-US" w:eastAsia="zh-CN" w:bidi="ar-SA"/>
        </w:rPr>
        <w:t>3</w:t>
      </w:r>
      <w:r>
        <w:rPr>
          <w:rFonts w:hint="default" w:ascii="Times New Roman" w:hAnsi="Times New Roman" w:eastAsia="宋体" w:cs="Times New Roman"/>
          <w:kern w:val="2"/>
          <w:sz w:val="24"/>
          <w:szCs w:val="24"/>
          <w:highlight w:val="none"/>
          <w:lang w:val="en-US" w:eastAsia="zh-CN" w:bidi="ar-SA"/>
        </w:rPr>
        <w:t>年</w:t>
      </w:r>
      <w:r>
        <w:rPr>
          <w:rFonts w:hint="eastAsia" w:cs="Times New Roman"/>
          <w:kern w:val="2"/>
          <w:sz w:val="24"/>
          <w:szCs w:val="24"/>
          <w:highlight w:val="none"/>
          <w:lang w:val="en-US" w:eastAsia="zh-CN" w:bidi="ar-SA"/>
        </w:rPr>
        <w:t>6</w:t>
      </w:r>
      <w:r>
        <w:rPr>
          <w:rFonts w:hint="default" w:ascii="Times New Roman" w:hAnsi="Times New Roman" w:eastAsia="宋体" w:cs="Times New Roman"/>
          <w:kern w:val="2"/>
          <w:sz w:val="24"/>
          <w:szCs w:val="24"/>
          <w:highlight w:val="none"/>
          <w:lang w:val="en-US" w:eastAsia="zh-CN" w:bidi="ar-SA"/>
        </w:rPr>
        <w:t>月由山东美陵中联环境工程有限公司编制，20</w:t>
      </w:r>
      <w:r>
        <w:rPr>
          <w:rFonts w:hint="default" w:ascii="Times New Roman" w:hAnsi="Times New Roman" w:cs="Times New Roman"/>
          <w:kern w:val="2"/>
          <w:sz w:val="24"/>
          <w:szCs w:val="24"/>
          <w:highlight w:val="none"/>
          <w:lang w:val="en-US" w:eastAsia="zh-CN" w:bidi="ar-SA"/>
        </w:rPr>
        <w:t>2</w:t>
      </w:r>
      <w:r>
        <w:rPr>
          <w:rFonts w:hint="eastAsia" w:cs="Times New Roman"/>
          <w:kern w:val="2"/>
          <w:sz w:val="24"/>
          <w:szCs w:val="24"/>
          <w:highlight w:val="none"/>
          <w:lang w:val="en-US" w:eastAsia="zh-CN" w:bidi="ar-SA"/>
        </w:rPr>
        <w:t>3</w:t>
      </w:r>
      <w:r>
        <w:rPr>
          <w:rFonts w:hint="default" w:ascii="Times New Roman" w:hAnsi="Times New Roman" w:eastAsia="宋体" w:cs="Times New Roman"/>
          <w:kern w:val="2"/>
          <w:sz w:val="24"/>
          <w:szCs w:val="24"/>
          <w:highlight w:val="none"/>
          <w:lang w:val="en-US" w:eastAsia="zh-CN" w:bidi="ar-SA"/>
        </w:rPr>
        <w:t>年</w:t>
      </w:r>
      <w:r>
        <w:rPr>
          <w:rFonts w:hint="eastAsia" w:cs="Times New Roman"/>
          <w:kern w:val="2"/>
          <w:sz w:val="24"/>
          <w:szCs w:val="24"/>
          <w:highlight w:val="none"/>
          <w:lang w:val="en-US" w:eastAsia="zh-CN" w:bidi="ar-SA"/>
        </w:rPr>
        <w:t>9</w:t>
      </w:r>
      <w:r>
        <w:rPr>
          <w:rFonts w:hint="default" w:ascii="Times New Roman" w:hAnsi="Times New Roman" w:eastAsia="宋体" w:cs="Times New Roman"/>
          <w:kern w:val="2"/>
          <w:sz w:val="24"/>
          <w:szCs w:val="24"/>
          <w:highlight w:val="none"/>
          <w:lang w:val="en-US" w:eastAsia="zh-CN" w:bidi="ar-SA"/>
        </w:rPr>
        <w:t>月</w:t>
      </w:r>
      <w:r>
        <w:rPr>
          <w:rFonts w:hint="eastAsia" w:cs="Times New Roman"/>
          <w:kern w:val="2"/>
          <w:sz w:val="24"/>
          <w:szCs w:val="24"/>
          <w:highlight w:val="none"/>
          <w:lang w:val="en-US" w:eastAsia="zh-CN" w:bidi="ar-SA"/>
        </w:rPr>
        <w:t>4</w:t>
      </w:r>
      <w:r>
        <w:rPr>
          <w:rFonts w:hint="default" w:ascii="Times New Roman" w:hAnsi="Times New Roman" w:eastAsia="宋体" w:cs="Times New Roman"/>
          <w:kern w:val="2"/>
          <w:sz w:val="24"/>
          <w:szCs w:val="24"/>
          <w:highlight w:val="none"/>
          <w:lang w:val="en-US" w:eastAsia="zh-CN" w:bidi="ar-SA"/>
        </w:rPr>
        <w:t>日通过淄博市生态环境局临淄分局审批（临环审字</w:t>
      </w:r>
      <w:r>
        <w:rPr>
          <w:rFonts w:hint="eastAsia" w:cs="Times New Roman"/>
          <w:kern w:val="2"/>
          <w:sz w:val="24"/>
          <w:szCs w:val="24"/>
          <w:highlight w:val="none"/>
          <w:lang w:val="en-US" w:eastAsia="zh-CN" w:bidi="ar-SA"/>
        </w:rPr>
        <w:t>【</w:t>
      </w:r>
      <w:r>
        <w:rPr>
          <w:rFonts w:hint="default" w:ascii="Times New Roman" w:hAnsi="Times New Roman" w:cs="Times New Roman"/>
          <w:kern w:val="2"/>
          <w:sz w:val="24"/>
          <w:szCs w:val="24"/>
          <w:highlight w:val="none"/>
          <w:lang w:val="en-US" w:eastAsia="zh-CN" w:bidi="ar-SA"/>
        </w:rPr>
        <w:t>202</w:t>
      </w:r>
      <w:r>
        <w:rPr>
          <w:rFonts w:hint="eastAsia" w:cs="Times New Roman"/>
          <w:kern w:val="2"/>
          <w:sz w:val="24"/>
          <w:szCs w:val="24"/>
          <w:highlight w:val="none"/>
          <w:lang w:val="en-US" w:eastAsia="zh-CN" w:bidi="ar-SA"/>
        </w:rPr>
        <w:t>3】047</w:t>
      </w:r>
      <w:r>
        <w:rPr>
          <w:rFonts w:hint="default" w:ascii="Times New Roman" w:hAnsi="Times New Roman" w:eastAsia="宋体" w:cs="Times New Roman"/>
          <w:kern w:val="2"/>
          <w:sz w:val="24"/>
          <w:szCs w:val="24"/>
          <w:highlight w:val="none"/>
          <w:lang w:val="en-US" w:eastAsia="zh-CN" w:bidi="ar-SA"/>
        </w:rPr>
        <w:t>号）。</w:t>
      </w:r>
      <w:r>
        <w:rPr>
          <w:rFonts w:hint="default" w:ascii="Times New Roman" w:hAnsi="Times New Roman" w:cs="Times New Roman"/>
          <w:kern w:val="2"/>
          <w:sz w:val="24"/>
          <w:szCs w:val="24"/>
          <w:highlight w:val="none"/>
          <w:lang w:val="en-US" w:eastAsia="zh-CN" w:bidi="ar-SA"/>
        </w:rPr>
        <w:t>项目于202</w:t>
      </w:r>
      <w:r>
        <w:rPr>
          <w:rFonts w:hint="eastAsia" w:cs="Times New Roman"/>
          <w:kern w:val="2"/>
          <w:sz w:val="24"/>
          <w:szCs w:val="24"/>
          <w:highlight w:val="none"/>
          <w:lang w:val="en-US" w:eastAsia="zh-CN" w:bidi="ar-SA"/>
        </w:rPr>
        <w:t>3</w:t>
      </w:r>
      <w:r>
        <w:rPr>
          <w:rFonts w:hint="default" w:ascii="Times New Roman" w:hAnsi="Times New Roman" w:cs="Times New Roman"/>
          <w:kern w:val="2"/>
          <w:sz w:val="24"/>
          <w:szCs w:val="24"/>
          <w:highlight w:val="none"/>
          <w:lang w:val="en-US" w:eastAsia="zh-CN" w:bidi="ar-SA"/>
        </w:rPr>
        <w:t>年</w:t>
      </w:r>
      <w:r>
        <w:rPr>
          <w:rFonts w:hint="eastAsia" w:cs="Times New Roman"/>
          <w:kern w:val="2"/>
          <w:sz w:val="24"/>
          <w:szCs w:val="24"/>
          <w:highlight w:val="none"/>
          <w:lang w:val="en-US" w:eastAsia="zh-CN" w:bidi="ar-SA"/>
        </w:rPr>
        <w:t>9</w:t>
      </w:r>
      <w:r>
        <w:rPr>
          <w:rFonts w:hint="default" w:ascii="Times New Roman" w:hAnsi="Times New Roman" w:cs="Times New Roman"/>
          <w:kern w:val="2"/>
          <w:sz w:val="24"/>
          <w:szCs w:val="24"/>
          <w:highlight w:val="none"/>
          <w:lang w:val="en-US" w:eastAsia="zh-CN" w:bidi="ar-SA"/>
        </w:rPr>
        <w:t>月开工建设</w:t>
      </w:r>
      <w:r>
        <w:rPr>
          <w:rFonts w:hint="eastAsia" w:cs="Times New Roman"/>
          <w:kern w:val="2"/>
          <w:sz w:val="24"/>
          <w:szCs w:val="24"/>
          <w:highlight w:val="none"/>
          <w:lang w:val="en-US" w:eastAsia="zh-CN" w:bidi="ar-SA"/>
        </w:rPr>
        <w:t>，</w:t>
      </w:r>
      <w:r>
        <w:rPr>
          <w:rFonts w:hint="default" w:ascii="Times New Roman" w:hAnsi="Times New Roman" w:cs="Times New Roman"/>
          <w:kern w:val="2"/>
          <w:sz w:val="24"/>
          <w:szCs w:val="24"/>
          <w:highlight w:val="none"/>
          <w:lang w:val="en-US" w:eastAsia="zh-CN" w:bidi="ar-SA"/>
        </w:rPr>
        <w:t>于202</w:t>
      </w:r>
      <w:r>
        <w:rPr>
          <w:rFonts w:hint="eastAsia" w:cs="Times New Roman"/>
          <w:kern w:val="2"/>
          <w:sz w:val="24"/>
          <w:szCs w:val="24"/>
          <w:highlight w:val="none"/>
          <w:lang w:val="en-US" w:eastAsia="zh-CN" w:bidi="ar-SA"/>
        </w:rPr>
        <w:t>3</w:t>
      </w:r>
      <w:r>
        <w:rPr>
          <w:rFonts w:hint="default" w:ascii="Times New Roman" w:hAnsi="Times New Roman" w:cs="Times New Roman"/>
          <w:kern w:val="2"/>
          <w:sz w:val="24"/>
          <w:szCs w:val="24"/>
          <w:highlight w:val="none"/>
          <w:lang w:val="en-US" w:eastAsia="zh-CN" w:bidi="ar-SA"/>
        </w:rPr>
        <w:t>年</w:t>
      </w:r>
      <w:r>
        <w:rPr>
          <w:rFonts w:hint="eastAsia" w:cs="Times New Roman"/>
          <w:kern w:val="2"/>
          <w:sz w:val="24"/>
          <w:szCs w:val="24"/>
          <w:highlight w:val="none"/>
          <w:lang w:val="en-US" w:eastAsia="zh-CN" w:bidi="ar-SA"/>
        </w:rPr>
        <w:t>10</w:t>
      </w:r>
      <w:r>
        <w:rPr>
          <w:rFonts w:hint="default" w:ascii="Times New Roman" w:hAnsi="Times New Roman" w:cs="Times New Roman"/>
          <w:kern w:val="2"/>
          <w:sz w:val="24"/>
          <w:szCs w:val="24"/>
          <w:highlight w:val="none"/>
          <w:lang w:val="en-US" w:eastAsia="zh-CN" w:bidi="ar-SA"/>
        </w:rPr>
        <w:t>月建成，环保设施同时竣工，202</w:t>
      </w:r>
      <w:r>
        <w:rPr>
          <w:rFonts w:hint="eastAsia" w:cs="Times New Roman"/>
          <w:kern w:val="2"/>
          <w:sz w:val="24"/>
          <w:szCs w:val="24"/>
          <w:highlight w:val="none"/>
          <w:lang w:val="en-US" w:eastAsia="zh-CN" w:bidi="ar-SA"/>
        </w:rPr>
        <w:t>3</w:t>
      </w:r>
      <w:r>
        <w:rPr>
          <w:rFonts w:hint="default" w:ascii="Times New Roman" w:hAnsi="Times New Roman" w:cs="Times New Roman"/>
          <w:kern w:val="2"/>
          <w:sz w:val="24"/>
          <w:szCs w:val="24"/>
          <w:highlight w:val="none"/>
          <w:lang w:val="en-US" w:eastAsia="zh-CN" w:bidi="ar-SA"/>
        </w:rPr>
        <w:t>年1</w:t>
      </w:r>
      <w:r>
        <w:rPr>
          <w:rFonts w:hint="eastAsia" w:cs="Times New Roman"/>
          <w:kern w:val="2"/>
          <w:sz w:val="24"/>
          <w:szCs w:val="24"/>
          <w:highlight w:val="none"/>
          <w:lang w:val="en-US" w:eastAsia="zh-CN" w:bidi="ar-SA"/>
        </w:rPr>
        <w:t>0</w:t>
      </w:r>
      <w:r>
        <w:rPr>
          <w:rFonts w:hint="default" w:ascii="Times New Roman" w:hAnsi="Times New Roman" w:cs="Times New Roman"/>
          <w:kern w:val="2"/>
          <w:sz w:val="24"/>
          <w:szCs w:val="24"/>
          <w:highlight w:val="none"/>
          <w:lang w:val="en-US" w:eastAsia="zh-CN" w:bidi="ar-SA"/>
        </w:rPr>
        <w:t>月进行了调试。项目已办理排污许可登记（登记编号为</w:t>
      </w:r>
      <w:r>
        <w:rPr>
          <w:rFonts w:hint="default" w:ascii="Times New Roman" w:hAnsi="Times New Roman" w:eastAsia="宋体" w:cs="Times New Roman"/>
          <w:kern w:val="2"/>
          <w:sz w:val="24"/>
          <w:szCs w:val="24"/>
          <w:highlight w:val="none"/>
          <w:lang w:val="en-US" w:eastAsia="zh-CN" w:bidi="ar-SA"/>
        </w:rPr>
        <w:t>：91370305696875998C001Z），项目建设至运营过程中无环境举报、投诉和处罚，全面做好环境保护工作，为工程竣工环境保护验收提供依据。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山东永聚医药科技股份有限公司参照环保部《建设项目竣工环境保护验收暂行办法》（国环规环评</w:t>
      </w:r>
      <w:r>
        <w:rPr>
          <w:rFonts w:hint="eastAsia"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2017</w:t>
      </w:r>
      <w:r>
        <w:rPr>
          <w:rFonts w:hint="eastAsia"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4号）开展相关验收调查工作，同时委托淄博国源检测有限公</w:t>
      </w:r>
      <w:r>
        <w:rPr>
          <w:rFonts w:hint="eastAsia" w:cs="Times New Roman"/>
          <w:kern w:val="2"/>
          <w:sz w:val="24"/>
          <w:szCs w:val="24"/>
          <w:highlight w:val="none"/>
          <w:lang w:val="en-US" w:eastAsia="zh-CN" w:bidi="ar-SA"/>
        </w:rPr>
        <w:t>司于</w:t>
      </w:r>
      <w:r>
        <w:rPr>
          <w:rFonts w:hint="default" w:ascii="Times New Roman" w:hAnsi="Times New Roman" w:eastAsia="宋体" w:cs="Times New Roman"/>
          <w:kern w:val="2"/>
          <w:sz w:val="24"/>
          <w:szCs w:val="24"/>
          <w:highlight w:val="none"/>
          <w:lang w:val="en-US" w:eastAsia="zh-CN" w:bidi="ar-SA"/>
        </w:rPr>
        <w:t>202</w:t>
      </w:r>
      <w:r>
        <w:rPr>
          <w:rFonts w:hint="eastAsia" w:cs="Times New Roman"/>
          <w:kern w:val="2"/>
          <w:sz w:val="24"/>
          <w:szCs w:val="24"/>
          <w:highlight w:val="none"/>
          <w:lang w:val="en-US" w:eastAsia="zh-CN" w:bidi="ar-SA"/>
        </w:rPr>
        <w:t>3</w:t>
      </w:r>
      <w:r>
        <w:rPr>
          <w:rFonts w:hint="default" w:ascii="Times New Roman" w:hAnsi="Times New Roman" w:eastAsia="宋体" w:cs="Times New Roman"/>
          <w:kern w:val="2"/>
          <w:sz w:val="24"/>
          <w:szCs w:val="24"/>
          <w:highlight w:val="none"/>
          <w:lang w:val="en-US" w:eastAsia="zh-CN" w:bidi="ar-SA"/>
        </w:rPr>
        <w:t>年</w:t>
      </w:r>
      <w:r>
        <w:rPr>
          <w:rFonts w:hint="eastAsia" w:cs="Times New Roman"/>
          <w:kern w:val="2"/>
          <w:sz w:val="24"/>
          <w:szCs w:val="24"/>
          <w:highlight w:val="none"/>
          <w:lang w:val="en-US" w:eastAsia="zh-CN" w:bidi="ar-SA"/>
        </w:rPr>
        <w:t>10</w:t>
      </w:r>
      <w:r>
        <w:rPr>
          <w:rFonts w:hint="default" w:ascii="Times New Roman" w:hAnsi="Times New Roman" w:eastAsia="宋体" w:cs="Times New Roman"/>
          <w:kern w:val="2"/>
          <w:sz w:val="24"/>
          <w:szCs w:val="24"/>
          <w:highlight w:val="none"/>
          <w:lang w:val="en-US" w:eastAsia="zh-CN" w:bidi="ar-SA"/>
        </w:rPr>
        <w:t>月</w:t>
      </w:r>
      <w:r>
        <w:rPr>
          <w:rFonts w:hint="eastAsia" w:cs="Times New Roman"/>
          <w:kern w:val="2"/>
          <w:sz w:val="24"/>
          <w:szCs w:val="24"/>
          <w:highlight w:val="none"/>
          <w:lang w:val="en-US" w:eastAsia="zh-CN" w:bidi="ar-SA"/>
        </w:rPr>
        <w:t>12</w:t>
      </w:r>
      <w:r>
        <w:rPr>
          <w:rFonts w:hint="default" w:ascii="Times New Roman" w:hAnsi="Times New Roman" w:eastAsia="宋体" w:cs="Times New Roman"/>
          <w:kern w:val="2"/>
          <w:sz w:val="24"/>
          <w:szCs w:val="24"/>
          <w:highlight w:val="none"/>
          <w:lang w:val="en-US" w:eastAsia="zh-CN" w:bidi="ar-SA"/>
        </w:rPr>
        <w:t>日-</w:t>
      </w:r>
      <w:r>
        <w:rPr>
          <w:rFonts w:hint="eastAsia" w:cs="Times New Roman"/>
          <w:kern w:val="2"/>
          <w:sz w:val="24"/>
          <w:szCs w:val="24"/>
          <w:highlight w:val="none"/>
          <w:lang w:val="en-US" w:eastAsia="zh-CN" w:bidi="ar-SA"/>
        </w:rPr>
        <w:t>10</w:t>
      </w:r>
      <w:r>
        <w:rPr>
          <w:rFonts w:hint="default" w:ascii="Times New Roman" w:hAnsi="Times New Roman" w:cs="Times New Roman"/>
          <w:kern w:val="2"/>
          <w:sz w:val="24"/>
          <w:szCs w:val="24"/>
          <w:highlight w:val="none"/>
          <w:lang w:val="en-US" w:eastAsia="zh-CN" w:bidi="ar-SA"/>
        </w:rPr>
        <w:t>月</w:t>
      </w:r>
      <w:r>
        <w:rPr>
          <w:rFonts w:hint="eastAsia" w:cs="Times New Roman"/>
          <w:kern w:val="2"/>
          <w:sz w:val="24"/>
          <w:szCs w:val="24"/>
          <w:highlight w:val="none"/>
          <w:lang w:val="en-US" w:eastAsia="zh-CN" w:bidi="ar-SA"/>
        </w:rPr>
        <w:t>13</w:t>
      </w:r>
      <w:r>
        <w:rPr>
          <w:rFonts w:hint="default" w:ascii="Times New Roman" w:hAnsi="Times New Roman" w:eastAsia="宋体" w:cs="Times New Roman"/>
          <w:kern w:val="2"/>
          <w:sz w:val="24"/>
          <w:szCs w:val="24"/>
          <w:highlight w:val="none"/>
          <w:lang w:val="en-US" w:eastAsia="zh-CN" w:bidi="ar-SA"/>
        </w:rPr>
        <w:t>日对项目环保设施及污染物排放情况进行检测。根据验收检测结果和现场调查情况编写本验收报告。</w:t>
      </w:r>
    </w:p>
    <w:p>
      <w:pPr>
        <w:spacing w:line="360" w:lineRule="auto"/>
        <w:jc w:val="left"/>
        <w:rPr>
          <w:rFonts w:hint="default" w:ascii="Times New Roman" w:hAnsi="Times New Roman" w:cs="Times New Roman"/>
          <w:b/>
          <w:bCs/>
          <w:color w:val="auto"/>
          <w:sz w:val="24"/>
          <w:szCs w:val="24"/>
          <w:lang w:eastAsia="zh-CN"/>
        </w:rPr>
        <w:sectPr>
          <w:footerReference r:id="rId4" w:type="default"/>
          <w:pgSz w:w="11850" w:h="16783"/>
          <w:pgMar w:top="1417" w:right="1417" w:bottom="1417" w:left="1417" w:header="0" w:footer="757" w:gutter="0"/>
          <w:pgBorders>
            <w:top w:val="none" w:sz="0" w:space="0"/>
            <w:left w:val="none" w:sz="0" w:space="0"/>
            <w:bottom w:val="none" w:sz="0" w:space="0"/>
            <w:right w:val="none" w:sz="0" w:space="0"/>
          </w:pgBorders>
          <w:pgNumType w:fmt="decimal" w:start="1"/>
          <w:cols w:space="720" w:num="1"/>
        </w:sectPr>
      </w:pPr>
    </w:p>
    <w:p>
      <w:pPr>
        <w:spacing w:line="360" w:lineRule="auto"/>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表一、验收项目概况</w:t>
      </w:r>
    </w:p>
    <w:tbl>
      <w:tblPr>
        <w:tblStyle w:val="19"/>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7"/>
        <w:gridCol w:w="1719"/>
        <w:gridCol w:w="866"/>
        <w:gridCol w:w="790"/>
        <w:gridCol w:w="1034"/>
        <w:gridCol w:w="1314"/>
        <w:gridCol w:w="16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exac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建设项目名称</w:t>
            </w:r>
          </w:p>
        </w:tc>
        <w:tc>
          <w:tcPr>
            <w:tcW w:w="4016" w:type="pct"/>
            <w:gridSpan w:val="6"/>
            <w:vAlign w:val="center"/>
          </w:tcPr>
          <w:p>
            <w:pPr>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医药包装产业基地塑料加工制造技术改造项目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建设单位名称</w:t>
            </w:r>
          </w:p>
        </w:tc>
        <w:tc>
          <w:tcPr>
            <w:tcW w:w="4016" w:type="pct"/>
            <w:gridSpan w:val="6"/>
            <w:vAlign w:val="center"/>
          </w:tcPr>
          <w:p>
            <w:pPr>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山东永聚医药科技股份有限公司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exac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建设项目主管部门</w:t>
            </w:r>
          </w:p>
        </w:tc>
        <w:tc>
          <w:tcPr>
            <w:tcW w:w="4016" w:type="pct"/>
            <w:gridSpan w:val="6"/>
            <w:vAlign w:val="center"/>
          </w:tcPr>
          <w:p>
            <w:pPr>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淄博市生态环境局临淄分局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建设项目性质</w:t>
            </w:r>
          </w:p>
        </w:tc>
        <w:tc>
          <w:tcPr>
            <w:tcW w:w="4016" w:type="pct"/>
            <w:gridSpan w:val="6"/>
            <w:vAlign w:val="center"/>
          </w:tcPr>
          <w:p>
            <w:pPr>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新建</w:t>
            </w:r>
            <w:r>
              <w:rPr>
                <w:rFonts w:hint="default" w:ascii="Times New Roman" w:hAnsi="Times New Roman" w:eastAsia="宋体" w:cs="Times New Roman"/>
                <w:sz w:val="24"/>
                <w:highlight w:val="none"/>
              </w:rPr>
              <w:sym w:font="Wingdings 2" w:char="00A3"/>
            </w:r>
            <w:r>
              <w:rPr>
                <w:rFonts w:hint="default" w:ascii="Times New Roman" w:hAnsi="Times New Roman" w:eastAsia="宋体" w:cs="Times New Roman"/>
                <w:sz w:val="24"/>
                <w:highlight w:val="none"/>
                <w:lang w:val="en-US" w:eastAsia="zh-CN"/>
              </w:rPr>
              <w:t xml:space="preserve">  </w:t>
            </w:r>
            <w:r>
              <w:rPr>
                <w:rFonts w:hint="default" w:ascii="Times New Roman" w:hAnsi="Times New Roman" w:cs="Times New Roman"/>
                <w:color w:val="auto"/>
                <w:sz w:val="24"/>
                <w:szCs w:val="24"/>
                <w:lang w:eastAsia="zh-CN"/>
              </w:rPr>
              <w:t>改扩建</w:t>
            </w:r>
            <w:r>
              <w:rPr>
                <w:rFonts w:hint="default" w:ascii="Times New Roman" w:hAnsi="Times New Roman" w:eastAsia="宋体" w:cs="Times New Roman"/>
                <w:sz w:val="24"/>
                <w:highlight w:val="none"/>
              </w:rPr>
              <w:sym w:font="Wingdings 2" w:char="0052"/>
            </w:r>
            <w:r>
              <w:rPr>
                <w:rFonts w:hint="default" w:ascii="Times New Roman" w:hAnsi="Times New Roman" w:eastAsia="宋体" w:cs="Times New Roman"/>
                <w:sz w:val="24"/>
                <w:highlight w:val="none"/>
                <w:lang w:val="en-US" w:eastAsia="zh-CN"/>
              </w:rPr>
              <w:t xml:space="preserve">  </w:t>
            </w:r>
            <w:r>
              <w:rPr>
                <w:rFonts w:hint="default" w:ascii="Times New Roman" w:hAnsi="Times New Roman" w:cs="Times New Roman"/>
                <w:color w:val="auto"/>
                <w:sz w:val="24"/>
                <w:szCs w:val="24"/>
                <w:lang w:eastAsia="zh-CN"/>
              </w:rPr>
              <w:t>技改</w:t>
            </w:r>
            <w:r>
              <w:rPr>
                <w:rFonts w:hint="default" w:ascii="Times New Roman" w:hAnsi="Times New Roman" w:eastAsia="宋体" w:cs="Times New Roman"/>
                <w:sz w:val="24"/>
                <w:highlight w:val="none"/>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7" w:hRule="exac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建设地点</w:t>
            </w:r>
          </w:p>
        </w:tc>
        <w:tc>
          <w:tcPr>
            <w:tcW w:w="4016" w:type="pct"/>
            <w:gridSpan w:val="6"/>
            <w:vAlign w:val="center"/>
          </w:tcPr>
          <w:p>
            <w:pPr>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 xml:space="preserve">山东省淄博市临淄区凤凰镇宏达路1618号山东永聚医药科技有限公司现有厂区内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立项时间</w:t>
            </w:r>
          </w:p>
        </w:tc>
        <w:tc>
          <w:tcPr>
            <w:tcW w:w="1399" w:type="pct"/>
            <w:gridSpan w:val="2"/>
            <w:vAlign w:val="center"/>
          </w:tcPr>
          <w:p>
            <w:pPr>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highlight w:val="none"/>
                <w:lang w:val="en-US" w:eastAsia="zh-CN"/>
              </w:rPr>
              <w:t>202</w:t>
            </w:r>
            <w:r>
              <w:rPr>
                <w:rFonts w:hint="eastAsia" w:cs="Times New Roman"/>
                <w:color w:val="auto"/>
                <w:sz w:val="24"/>
                <w:szCs w:val="24"/>
                <w:highlight w:val="none"/>
                <w:lang w:val="en-US" w:eastAsia="zh-CN"/>
              </w:rPr>
              <w:t>3.2.27</w:t>
            </w:r>
          </w:p>
        </w:tc>
        <w:tc>
          <w:tcPr>
            <w:tcW w:w="987" w:type="pct"/>
            <w:gridSpan w:val="2"/>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立项文号</w:t>
            </w:r>
          </w:p>
        </w:tc>
        <w:tc>
          <w:tcPr>
            <w:tcW w:w="1628" w:type="pct"/>
            <w:gridSpan w:val="2"/>
            <w:vAlign w:val="center"/>
          </w:tcPr>
          <w:p>
            <w:pPr>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2302-370305-89-02-866607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环评时间</w:t>
            </w:r>
          </w:p>
        </w:tc>
        <w:tc>
          <w:tcPr>
            <w:tcW w:w="1399" w:type="pct"/>
            <w:gridSpan w:val="2"/>
            <w:vAlign w:val="center"/>
          </w:tcPr>
          <w:p>
            <w:pPr>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202</w:t>
            </w:r>
            <w:r>
              <w:rPr>
                <w:rFonts w:hint="eastAsia" w:cs="Times New Roman"/>
                <w:color w:val="auto"/>
                <w:sz w:val="24"/>
                <w:szCs w:val="24"/>
                <w:lang w:val="en-US" w:eastAsia="zh-CN"/>
              </w:rPr>
              <w:t>3</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6</w:t>
            </w:r>
          </w:p>
        </w:tc>
        <w:tc>
          <w:tcPr>
            <w:tcW w:w="987" w:type="pct"/>
            <w:gridSpan w:val="2"/>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环评报告表</w:t>
            </w:r>
          </w:p>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编写单位</w:t>
            </w:r>
          </w:p>
        </w:tc>
        <w:tc>
          <w:tcPr>
            <w:tcW w:w="1628" w:type="pct"/>
            <w:gridSpan w:val="2"/>
            <w:vAlign w:val="center"/>
          </w:tcPr>
          <w:p>
            <w:pPr>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山东美陵中联环境工程有限公司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环评报告表</w:t>
            </w:r>
          </w:p>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审批部门</w:t>
            </w:r>
          </w:p>
        </w:tc>
        <w:tc>
          <w:tcPr>
            <w:tcW w:w="1399" w:type="pct"/>
            <w:gridSpan w:val="2"/>
            <w:vAlign w:val="center"/>
          </w:tcPr>
          <w:p>
            <w:pPr>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highlight w:val="none"/>
                <w:lang w:eastAsia="zh-CN"/>
              </w:rPr>
              <w:t>淄博市生态环境局临淄分局</w:t>
            </w:r>
          </w:p>
        </w:tc>
        <w:tc>
          <w:tcPr>
            <w:tcW w:w="987" w:type="pct"/>
            <w:gridSpan w:val="2"/>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审批时间与文号</w:t>
            </w:r>
          </w:p>
        </w:tc>
        <w:tc>
          <w:tcPr>
            <w:tcW w:w="1628" w:type="pct"/>
            <w:gridSpan w:val="2"/>
            <w:vAlign w:val="center"/>
          </w:tcPr>
          <w:p>
            <w:pPr>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highlight w:val="none"/>
                <w:lang w:eastAsia="zh-CN"/>
              </w:rPr>
              <w:t>临环审字【20</w:t>
            </w:r>
            <w:r>
              <w:rPr>
                <w:rFonts w:hint="default"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047</w:t>
            </w:r>
            <w:r>
              <w:rPr>
                <w:rFonts w:hint="default" w:ascii="Times New Roman" w:hAnsi="Times New Roman" w:cs="Times New Roman"/>
                <w:color w:val="auto"/>
                <w:sz w:val="24"/>
                <w:szCs w:val="24"/>
                <w:highlight w:val="none"/>
                <w:lang w:eastAsia="zh-CN"/>
              </w:rPr>
              <w:t>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开工时间</w:t>
            </w:r>
          </w:p>
        </w:tc>
        <w:tc>
          <w:tcPr>
            <w:tcW w:w="1399" w:type="pct"/>
            <w:gridSpan w:val="2"/>
            <w:vAlign w:val="center"/>
          </w:tcPr>
          <w:p>
            <w:pPr>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202</w:t>
            </w:r>
            <w:r>
              <w:rPr>
                <w:rFonts w:hint="eastAsia" w:cs="Times New Roman"/>
                <w:color w:val="auto"/>
                <w:sz w:val="24"/>
                <w:szCs w:val="24"/>
                <w:lang w:val="en-US" w:eastAsia="zh-CN"/>
              </w:rPr>
              <w:t>3</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9</w:t>
            </w:r>
          </w:p>
        </w:tc>
        <w:tc>
          <w:tcPr>
            <w:tcW w:w="987" w:type="pct"/>
            <w:gridSpan w:val="2"/>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竣工时间</w:t>
            </w:r>
          </w:p>
        </w:tc>
        <w:tc>
          <w:tcPr>
            <w:tcW w:w="1628" w:type="pct"/>
            <w:gridSpan w:val="2"/>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highlight w:val="none"/>
              </w:rPr>
              <w:t>202</w:t>
            </w:r>
            <w:r>
              <w:rPr>
                <w:rFonts w:hint="eastAsia" w:cs="Times New Roman"/>
                <w:sz w:val="24"/>
                <w:highlight w:val="none"/>
                <w:lang w:val="en-US" w:eastAsia="zh-CN"/>
              </w:rPr>
              <w:t>3.10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5" w:hRule="exac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调试时间</w:t>
            </w:r>
          </w:p>
        </w:tc>
        <w:tc>
          <w:tcPr>
            <w:tcW w:w="1399" w:type="pct"/>
            <w:gridSpan w:val="2"/>
            <w:vAlign w:val="center"/>
          </w:tcPr>
          <w:p>
            <w:pPr>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202</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0</w:t>
            </w:r>
          </w:p>
        </w:tc>
        <w:tc>
          <w:tcPr>
            <w:tcW w:w="987" w:type="pct"/>
            <w:gridSpan w:val="2"/>
            <w:vAlign w:val="center"/>
          </w:tcPr>
          <w:p>
            <w:pPr>
              <w:jc w:val="center"/>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申领排污许可证情况</w:t>
            </w:r>
          </w:p>
        </w:tc>
        <w:tc>
          <w:tcPr>
            <w:tcW w:w="1628" w:type="pct"/>
            <w:gridSpan w:val="2"/>
            <w:vAlign w:val="center"/>
          </w:tcPr>
          <w:p>
            <w:pPr>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highlight w:val="none"/>
                <w:lang w:eastAsia="zh-CN"/>
              </w:rPr>
              <w:t>已申领：</w:t>
            </w:r>
            <w:r>
              <w:rPr>
                <w:rFonts w:hint="default" w:ascii="Times New Roman" w:hAnsi="Times New Roman" w:eastAsia="宋体" w:cs="Times New Roman"/>
                <w:kern w:val="2"/>
                <w:sz w:val="24"/>
                <w:szCs w:val="24"/>
                <w:highlight w:val="none"/>
                <w:lang w:val="en-US" w:eastAsia="zh-CN" w:bidi="ar-SA"/>
              </w:rPr>
              <w:t>91370305696875998C001Z</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验收工作的组织与启动时间</w:t>
            </w:r>
          </w:p>
        </w:tc>
        <w:tc>
          <w:tcPr>
            <w:tcW w:w="4016" w:type="pct"/>
            <w:gridSpan w:val="6"/>
            <w:vAlign w:val="center"/>
          </w:tcPr>
          <w:p>
            <w:pPr>
              <w:jc w:val="center"/>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color w:val="auto"/>
                <w:sz w:val="24"/>
                <w:szCs w:val="24"/>
                <w:highlight w:val="none"/>
                <w:lang w:eastAsia="zh-CN"/>
              </w:rPr>
              <w:t>202</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年</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eastAsia="zh-CN"/>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验收监测方案编制</w:t>
            </w:r>
          </w:p>
        </w:tc>
        <w:tc>
          <w:tcPr>
            <w:tcW w:w="1399" w:type="pct"/>
            <w:gridSpan w:val="2"/>
            <w:vAlign w:val="center"/>
          </w:tcPr>
          <w:p>
            <w:pPr>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是 √</w:t>
            </w:r>
            <w:r>
              <w:rPr>
                <w:rFonts w:hint="default" w:ascii="Times New Roman" w:hAnsi="Times New Roman" w:cs="Times New Roman"/>
                <w:color w:val="auto"/>
                <w:sz w:val="24"/>
                <w:szCs w:val="24"/>
                <w:highlight w:val="none"/>
                <w:lang w:eastAsia="zh-CN"/>
              </w:rPr>
              <w:tab/>
            </w:r>
            <w:r>
              <w:rPr>
                <w:rFonts w:hint="default" w:ascii="Times New Roman" w:hAnsi="Times New Roman" w:cs="Times New Roman"/>
                <w:color w:val="auto"/>
                <w:sz w:val="24"/>
                <w:szCs w:val="24"/>
                <w:highlight w:val="none"/>
                <w:lang w:eastAsia="zh-CN"/>
              </w:rPr>
              <w:t>否</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eastAsia="zh-CN"/>
              </w:rPr>
              <w:t>（划√）</w:t>
            </w:r>
          </w:p>
        </w:tc>
        <w:tc>
          <w:tcPr>
            <w:tcW w:w="987" w:type="pct"/>
            <w:gridSpan w:val="2"/>
            <w:vAlign w:val="center"/>
          </w:tcPr>
          <w:p>
            <w:pPr>
              <w:jc w:val="center"/>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验收监测方案</w:t>
            </w:r>
          </w:p>
          <w:p>
            <w:pPr>
              <w:jc w:val="center"/>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编制时间</w:t>
            </w:r>
          </w:p>
        </w:tc>
        <w:tc>
          <w:tcPr>
            <w:tcW w:w="1628" w:type="pct"/>
            <w:gridSpan w:val="2"/>
            <w:vAlign w:val="center"/>
          </w:tcPr>
          <w:p>
            <w:pPr>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202</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现场验收监测时间</w:t>
            </w:r>
          </w:p>
        </w:tc>
        <w:tc>
          <w:tcPr>
            <w:tcW w:w="1399" w:type="pct"/>
            <w:gridSpan w:val="2"/>
            <w:vAlign w:val="center"/>
          </w:tcPr>
          <w:p>
            <w:pPr>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202</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年</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eastAsia="zh-CN"/>
              </w:rPr>
              <w:t>月</w:t>
            </w:r>
            <w:r>
              <w:rPr>
                <w:rFonts w:hint="eastAsia" w:cs="Times New Roman"/>
                <w:color w:val="auto"/>
                <w:sz w:val="24"/>
                <w:szCs w:val="24"/>
                <w:highlight w:val="none"/>
                <w:lang w:val="en-US" w:eastAsia="zh-CN"/>
              </w:rPr>
              <w:t>12</w:t>
            </w:r>
            <w:r>
              <w:rPr>
                <w:rFonts w:hint="default" w:ascii="Times New Roman" w:hAnsi="Times New Roman" w:cs="Times New Roman"/>
                <w:color w:val="auto"/>
                <w:sz w:val="24"/>
                <w:szCs w:val="24"/>
                <w:highlight w:val="none"/>
                <w:lang w:eastAsia="zh-CN"/>
              </w:rPr>
              <w:t>日-</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eastAsia="zh-CN"/>
              </w:rPr>
              <w:t>月</w:t>
            </w:r>
            <w:r>
              <w:rPr>
                <w:rFonts w:hint="eastAsia" w:cs="Times New Roman"/>
                <w:color w:val="auto"/>
                <w:sz w:val="24"/>
                <w:szCs w:val="24"/>
                <w:highlight w:val="none"/>
                <w:lang w:val="en-US" w:eastAsia="zh-CN"/>
              </w:rPr>
              <w:t>13</w:t>
            </w:r>
            <w:r>
              <w:rPr>
                <w:rFonts w:hint="default" w:ascii="Times New Roman" w:hAnsi="Times New Roman" w:cs="Times New Roman"/>
                <w:color w:val="auto"/>
                <w:sz w:val="24"/>
                <w:szCs w:val="24"/>
                <w:highlight w:val="none"/>
                <w:lang w:eastAsia="zh-CN"/>
              </w:rPr>
              <w:t>日</w:t>
            </w:r>
          </w:p>
        </w:tc>
        <w:tc>
          <w:tcPr>
            <w:tcW w:w="987" w:type="pct"/>
            <w:gridSpan w:val="2"/>
            <w:vAlign w:val="center"/>
          </w:tcPr>
          <w:p>
            <w:pPr>
              <w:jc w:val="center"/>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环保设施</w:t>
            </w:r>
          </w:p>
          <w:p>
            <w:pPr>
              <w:jc w:val="center"/>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设计单位</w:t>
            </w:r>
          </w:p>
        </w:tc>
        <w:tc>
          <w:tcPr>
            <w:tcW w:w="1628" w:type="pct"/>
            <w:gridSpan w:val="2"/>
            <w:vAlign w:val="center"/>
          </w:tcPr>
          <w:p>
            <w:pPr>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投资总概算</w:t>
            </w:r>
          </w:p>
        </w:tc>
        <w:tc>
          <w:tcPr>
            <w:tcW w:w="930" w:type="pct"/>
            <w:vAlign w:val="center"/>
          </w:tcPr>
          <w:p>
            <w:pPr>
              <w:jc w:val="center"/>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5200</w:t>
            </w:r>
            <w:r>
              <w:rPr>
                <w:rFonts w:hint="default" w:ascii="Times New Roman" w:hAnsi="Times New Roman" w:cs="Times New Roman"/>
                <w:color w:val="auto"/>
                <w:sz w:val="24"/>
                <w:szCs w:val="24"/>
                <w:lang w:eastAsia="zh-CN"/>
              </w:rPr>
              <w:t>万元</w:t>
            </w:r>
          </w:p>
        </w:tc>
        <w:tc>
          <w:tcPr>
            <w:tcW w:w="896" w:type="pct"/>
            <w:gridSpan w:val="2"/>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环保投资概算</w:t>
            </w:r>
          </w:p>
        </w:tc>
        <w:tc>
          <w:tcPr>
            <w:tcW w:w="559" w:type="pct"/>
            <w:vAlign w:val="center"/>
          </w:tcPr>
          <w:p>
            <w:pPr>
              <w:jc w:val="center"/>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20</w:t>
            </w:r>
            <w:r>
              <w:rPr>
                <w:rFonts w:hint="default" w:ascii="Times New Roman" w:hAnsi="Times New Roman" w:cs="Times New Roman"/>
                <w:color w:val="auto"/>
                <w:sz w:val="24"/>
                <w:szCs w:val="24"/>
                <w:lang w:eastAsia="zh-CN"/>
              </w:rPr>
              <w:t>万元</w:t>
            </w:r>
          </w:p>
        </w:tc>
        <w:tc>
          <w:tcPr>
            <w:tcW w:w="711"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比例</w:t>
            </w:r>
          </w:p>
        </w:tc>
        <w:tc>
          <w:tcPr>
            <w:tcW w:w="917" w:type="pct"/>
            <w:vAlign w:val="center"/>
          </w:tcPr>
          <w:p>
            <w:pPr>
              <w:jc w:val="center"/>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0.38</w:t>
            </w:r>
            <w:r>
              <w:rPr>
                <w:rFonts w:hint="default" w:ascii="Times New Roman" w:hAnsi="Times New Roman" w:cs="Times New Roman"/>
                <w:color w:val="auto"/>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实际总投资</w:t>
            </w:r>
          </w:p>
        </w:tc>
        <w:tc>
          <w:tcPr>
            <w:tcW w:w="930" w:type="pct"/>
            <w:vAlign w:val="center"/>
          </w:tcPr>
          <w:p>
            <w:pPr>
              <w:jc w:val="center"/>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val="en-US" w:eastAsia="zh-CN"/>
              </w:rPr>
              <w:t>5200</w:t>
            </w:r>
            <w:r>
              <w:rPr>
                <w:rFonts w:hint="default" w:ascii="Times New Roman" w:hAnsi="Times New Roman" w:cs="Times New Roman"/>
                <w:color w:val="auto"/>
                <w:sz w:val="24"/>
                <w:szCs w:val="24"/>
                <w:highlight w:val="none"/>
                <w:lang w:eastAsia="zh-CN"/>
              </w:rPr>
              <w:t>万元</w:t>
            </w:r>
          </w:p>
        </w:tc>
        <w:tc>
          <w:tcPr>
            <w:tcW w:w="896" w:type="pct"/>
            <w:gridSpan w:val="2"/>
            <w:vAlign w:val="center"/>
          </w:tcPr>
          <w:p>
            <w:pPr>
              <w:jc w:val="center"/>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环保投资</w:t>
            </w:r>
          </w:p>
        </w:tc>
        <w:tc>
          <w:tcPr>
            <w:tcW w:w="559" w:type="pct"/>
            <w:vAlign w:val="center"/>
          </w:tcPr>
          <w:p>
            <w:pPr>
              <w:jc w:val="center"/>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eastAsia="zh-CN"/>
              </w:rPr>
              <w:t>万元</w:t>
            </w:r>
          </w:p>
        </w:tc>
        <w:tc>
          <w:tcPr>
            <w:tcW w:w="711" w:type="pct"/>
            <w:vAlign w:val="center"/>
          </w:tcPr>
          <w:p>
            <w:pPr>
              <w:jc w:val="center"/>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比例</w:t>
            </w:r>
          </w:p>
        </w:tc>
        <w:tc>
          <w:tcPr>
            <w:tcW w:w="917" w:type="pct"/>
            <w:vAlign w:val="center"/>
          </w:tcPr>
          <w:p>
            <w:pPr>
              <w:jc w:val="center"/>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val="en-US" w:eastAsia="zh-CN"/>
              </w:rPr>
              <w:t>0.38</w:t>
            </w:r>
            <w:r>
              <w:rPr>
                <w:rFonts w:hint="default" w:ascii="Times New Roman" w:hAnsi="Times New Roman" w:cs="Times New Roman"/>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占地面积</w:t>
            </w:r>
          </w:p>
        </w:tc>
        <w:tc>
          <w:tcPr>
            <w:tcW w:w="1399" w:type="pct"/>
            <w:gridSpan w:val="2"/>
            <w:vAlign w:val="center"/>
          </w:tcPr>
          <w:p>
            <w:pPr>
              <w:jc w:val="center"/>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w:t>
            </w:r>
          </w:p>
        </w:tc>
        <w:tc>
          <w:tcPr>
            <w:tcW w:w="987" w:type="pct"/>
            <w:gridSpan w:val="2"/>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建筑面积</w:t>
            </w:r>
          </w:p>
        </w:tc>
        <w:tc>
          <w:tcPr>
            <w:tcW w:w="1628" w:type="pct"/>
            <w:gridSpan w:val="2"/>
            <w:vAlign w:val="center"/>
          </w:tcPr>
          <w:p>
            <w:pPr>
              <w:jc w:val="center"/>
              <w:rPr>
                <w:rFonts w:hint="default" w:ascii="Times New Roman" w:hAnsi="Times New Roman" w:cs="Times New Roman"/>
                <w:b/>
                <w:bCs/>
                <w:color w:val="auto"/>
                <w:sz w:val="24"/>
                <w:szCs w:val="24"/>
                <w:lang w:eastAsia="zh-CN"/>
              </w:rPr>
            </w:pPr>
            <w:r>
              <w:rPr>
                <w:rFonts w:hint="eastAsia" w:cs="Times New Roman"/>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主要产品名称</w:t>
            </w:r>
          </w:p>
        </w:tc>
        <w:tc>
          <w:tcPr>
            <w:tcW w:w="4016" w:type="pct"/>
            <w:gridSpan w:val="6"/>
            <w:vAlign w:val="center"/>
          </w:tcPr>
          <w:p>
            <w:pPr>
              <w:jc w:val="center"/>
              <w:rPr>
                <w:rFonts w:hint="default" w:ascii="Times New Roman" w:hAnsi="Times New Roman" w:eastAsia="宋体" w:cs="Times New Roman"/>
                <w:sz w:val="24"/>
                <w:highlight w:val="none"/>
                <w:lang w:val="en-US" w:eastAsia="zh-CN"/>
              </w:rPr>
            </w:pPr>
          </w:p>
          <w:p>
            <w:pPr>
              <w:jc w:val="center"/>
              <w:rPr>
                <w:rFonts w:hint="eastAsia" w:cs="Times New Roman"/>
                <w:sz w:val="24"/>
                <w:highlight w:val="none"/>
                <w:lang w:val="en-US" w:eastAsia="zh-CN"/>
              </w:rPr>
            </w:pPr>
            <w:r>
              <w:rPr>
                <w:rFonts w:hint="default" w:ascii="Times New Roman" w:hAnsi="Times New Roman" w:eastAsia="宋体" w:cs="Times New Roman"/>
                <w:sz w:val="24"/>
                <w:highlight w:val="none"/>
                <w:lang w:val="en-US" w:eastAsia="zh-CN"/>
              </w:rPr>
              <w:t>预灌封注射器</w:t>
            </w:r>
            <w:r>
              <w:rPr>
                <w:rFonts w:hint="eastAsia" w:cs="Times New Roman"/>
                <w:sz w:val="24"/>
                <w:highlight w:val="none"/>
                <w:lang w:val="en-US" w:eastAsia="zh-CN"/>
              </w:rPr>
              <w:t>、预充管、西林瓶</w:t>
            </w:r>
          </w:p>
          <w:p>
            <w:pPr>
              <w:jc w:val="center"/>
              <w:rPr>
                <w:rFonts w:hint="default" w:cs="Times New Roman"/>
                <w:sz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设计生产能力</w:t>
            </w:r>
          </w:p>
        </w:tc>
        <w:tc>
          <w:tcPr>
            <w:tcW w:w="4016" w:type="pct"/>
            <w:gridSpan w:val="6"/>
            <w:vAlign w:val="center"/>
          </w:tcPr>
          <w:p>
            <w:pPr>
              <w:jc w:val="center"/>
              <w:rPr>
                <w:rFonts w:hint="eastAsia" w:cs="Times New Roman"/>
                <w:sz w:val="24"/>
                <w:highlight w:val="none"/>
                <w:lang w:val="en-US" w:eastAsia="zh-CN"/>
              </w:rPr>
            </w:pPr>
          </w:p>
          <w:p>
            <w:pPr>
              <w:jc w:val="center"/>
              <w:rPr>
                <w:rFonts w:hint="default" w:ascii="Times New Roman" w:hAnsi="Times New Roman" w:eastAsia="宋体" w:cs="Times New Roman"/>
                <w:sz w:val="24"/>
                <w:highlight w:val="none"/>
                <w:lang w:val="en-US" w:eastAsia="zh-CN"/>
              </w:rPr>
            </w:pPr>
            <w:r>
              <w:rPr>
                <w:rFonts w:hint="eastAsia" w:cs="Times New Roman"/>
                <w:sz w:val="24"/>
                <w:highlight w:val="none"/>
                <w:lang w:val="en-US" w:eastAsia="zh-CN"/>
              </w:rPr>
              <w:t>年产</w:t>
            </w:r>
            <w:r>
              <w:rPr>
                <w:rFonts w:hint="default" w:ascii="Times New Roman" w:hAnsi="Times New Roman" w:eastAsia="宋体" w:cs="Times New Roman"/>
                <w:sz w:val="24"/>
                <w:highlight w:val="none"/>
                <w:lang w:val="en-US" w:eastAsia="zh-CN"/>
              </w:rPr>
              <w:t>预灌封注射器1980万支、预充管6720万支、西林瓶1900万只</w:t>
            </w:r>
          </w:p>
          <w:p>
            <w:pPr>
              <w:jc w:val="center"/>
              <w:rPr>
                <w:rFonts w:hint="default" w:ascii="Times New Roman" w:hAnsi="Times New Roman" w:eastAsia="宋体" w:cs="Times New Roman"/>
                <w:sz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实际生产能力</w:t>
            </w:r>
          </w:p>
        </w:tc>
        <w:tc>
          <w:tcPr>
            <w:tcW w:w="4016" w:type="pct"/>
            <w:gridSpan w:val="6"/>
            <w:vAlign w:val="center"/>
          </w:tcPr>
          <w:p>
            <w:pPr>
              <w:jc w:val="center"/>
              <w:rPr>
                <w:rFonts w:hint="default" w:ascii="Times New Roman" w:hAnsi="Times New Roman" w:eastAsia="宋体" w:cs="Times New Roman"/>
                <w:sz w:val="24"/>
                <w:highlight w:val="yellow"/>
                <w:lang w:val="en-US" w:eastAsia="zh-CN"/>
              </w:rPr>
            </w:pPr>
          </w:p>
          <w:p>
            <w:pPr>
              <w:jc w:val="center"/>
              <w:rPr>
                <w:rFonts w:hint="eastAsia" w:cs="Times New Roman"/>
                <w:sz w:val="24"/>
                <w:highlight w:val="none"/>
                <w:lang w:val="en-US" w:eastAsia="zh-CN"/>
              </w:rPr>
            </w:pPr>
            <w:r>
              <w:rPr>
                <w:rFonts w:hint="default" w:ascii="Times New Roman" w:hAnsi="Times New Roman" w:eastAsia="宋体" w:cs="Times New Roman"/>
                <w:sz w:val="24"/>
                <w:highlight w:val="none"/>
                <w:lang w:val="en-US" w:eastAsia="zh-CN"/>
              </w:rPr>
              <w:t>年产预灌封注射器1980万支、预充管6720万支、西林瓶1900万只</w:t>
            </w:r>
            <w:r>
              <w:rPr>
                <w:rFonts w:hint="eastAsia" w:cs="Times New Roman"/>
                <w:sz w:val="24"/>
                <w:highlight w:val="none"/>
                <w:lang w:val="en-US" w:eastAsia="zh-CN"/>
              </w:rPr>
              <w:t xml:space="preserve"> </w:t>
            </w:r>
          </w:p>
          <w:p>
            <w:pPr>
              <w:jc w:val="center"/>
              <w:rPr>
                <w:rFonts w:hint="default" w:cs="Times New Roman"/>
                <w:sz w:val="24"/>
                <w:highlight w:val="yellow"/>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6" w:hRule="atLeas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验收工作由来</w:t>
            </w:r>
          </w:p>
        </w:tc>
        <w:tc>
          <w:tcPr>
            <w:tcW w:w="4016" w:type="pct"/>
            <w:gridSpan w:val="6"/>
            <w:vAlign w:val="center"/>
          </w:tcPr>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jc w:val="both"/>
              <w:textAlignment w:val="auto"/>
              <w:rPr>
                <w:rFonts w:hint="default" w:ascii="Times New Roman" w:hAnsi="Times New Roman" w:eastAsia="宋体" w:cs="Times New Roman"/>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highlight w:val="none"/>
                <w:lang w:eastAsia="zh-CN"/>
              </w:rPr>
              <w:t>山东永聚医药科技股份有限公司</w:t>
            </w:r>
            <w:r>
              <w:rPr>
                <w:rFonts w:hint="eastAsia" w:cs="Times New Roman"/>
                <w:color w:val="auto"/>
                <w:sz w:val="24"/>
                <w:highlight w:val="none"/>
                <w:lang w:val="en-US" w:eastAsia="zh-CN"/>
              </w:rPr>
              <w:t>医药包装产业基地塑料加工制造技术改造项目</w:t>
            </w:r>
            <w:r>
              <w:rPr>
                <w:rFonts w:hint="default" w:ascii="Times New Roman" w:hAnsi="Times New Roman" w:eastAsia="宋体" w:cs="Times New Roman"/>
                <w:sz w:val="24"/>
                <w:highlight w:val="none"/>
                <w:lang w:eastAsia="zh-CN"/>
              </w:rPr>
              <w:t>位于项目位于临淄区凤凰镇宏达路1618号山东永聚医药科技股份有限公司现有厂区内，总投资5200万元</w:t>
            </w:r>
            <w:r>
              <w:rPr>
                <w:rFonts w:hint="eastAsia" w:cs="Times New Roman"/>
                <w:sz w:val="24"/>
                <w:highlight w:val="none"/>
                <w:lang w:eastAsia="zh-CN"/>
              </w:rPr>
              <w:t>；</w:t>
            </w:r>
            <w:r>
              <w:rPr>
                <w:rFonts w:hint="default" w:ascii="Times New Roman" w:hAnsi="Times New Roman" w:cs="Times New Roman"/>
                <w:color w:val="auto"/>
                <w:sz w:val="24"/>
                <w:szCs w:val="24"/>
                <w:highlight w:val="none"/>
                <w:lang w:eastAsia="zh-CN"/>
              </w:rPr>
              <w:t>其环境影响报告表已</w:t>
            </w:r>
            <w:r>
              <w:rPr>
                <w:rFonts w:hint="default" w:ascii="Times New Roman" w:hAnsi="Times New Roman" w:eastAsia="宋体" w:cs="Times New Roman"/>
                <w:kern w:val="2"/>
                <w:sz w:val="24"/>
                <w:szCs w:val="24"/>
                <w:highlight w:val="none"/>
                <w:lang w:val="en-US" w:eastAsia="zh-CN" w:bidi="ar-SA"/>
              </w:rPr>
              <w:t>通过淄博市生态环境局临淄分局审批（临环审字【2023】047号</w:t>
            </w:r>
            <w:r>
              <w:rPr>
                <w:rFonts w:hint="eastAsia" w:cs="Times New Roman"/>
                <w:kern w:val="2"/>
                <w:sz w:val="24"/>
                <w:szCs w:val="24"/>
                <w:highlight w:val="none"/>
                <w:lang w:val="en-US" w:eastAsia="zh-CN" w:bidi="ar-SA"/>
              </w:rPr>
              <w:t>）。</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按照《国务院关于修改（建设项目竣工环境保护管理条例）的决定》（国务院令第682号）、《建设项目竣工环境保护验收暂行办法》（国环规环评</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2017</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4号）等有关规定要求，编制环境影响报告表的建设项目竣工后，建设单位应当按照国务院环境保护行政主管部门规定的标准和程序，对配套建设的环境保护设施进行验收，编制验收报告。</w:t>
            </w:r>
          </w:p>
          <w:p>
            <w:pPr>
              <w:spacing w:line="360" w:lineRule="auto"/>
              <w:ind w:firstLine="480" w:firstLineChars="200"/>
              <w:jc w:val="both"/>
              <w:rPr>
                <w:rFonts w:hint="default" w:ascii="Times New Roman" w:hAnsi="Times New Roman" w:cs="Times New Roman"/>
                <w:color w:val="auto"/>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验收范围与内容</w:t>
            </w:r>
          </w:p>
        </w:tc>
        <w:tc>
          <w:tcPr>
            <w:tcW w:w="4016" w:type="pct"/>
            <w:gridSpan w:val="6"/>
            <w:vAlign w:val="center"/>
          </w:tcPr>
          <w:p>
            <w:pPr>
              <w:keepNext w:val="0"/>
              <w:keepLines w:val="0"/>
              <w:pageBreakBefore w:val="0"/>
              <w:widowControl w:val="0"/>
              <w:kinsoku/>
              <w:wordWrap/>
              <w:overflowPunct/>
              <w:topLinePunct w:val="0"/>
              <w:autoSpaceDE/>
              <w:autoSpaceDN/>
              <w:bidi w:val="0"/>
              <w:adjustRightInd/>
              <w:snapToGrid/>
              <w:spacing w:before="0" w:beforeLines="50" w:line="360" w:lineRule="auto"/>
              <w:ind w:firstLine="480" w:firstLineChars="200"/>
              <w:jc w:val="both"/>
              <w:textAlignment w:val="auto"/>
              <w:rPr>
                <w:rFonts w:hint="default" w:ascii="Times New Roman" w:hAnsi="Times New Roman" w:cs="Times New Roman"/>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此次竣工验收监测是对山东永聚医药科技股份有限公司医药包装产业基地塑料加工制造技术改造项目的环保设施的建设、运行和管理进行全面考核，对环保设施的处理效果和排污状况进行现场监测，以检查各种污染防治措施是否达到设计能力和预期效果，并评价其污染物排放是否符合国家标准和总量控制指标。监测期间工况稳定，环保设施设备稳定运行，满足环境保护验收要求。检查环评批复的落实情况、污染物排放总量的落实情况；核查周围敏感保护目标的分布及受影响情况。</w:t>
            </w:r>
          </w:p>
          <w:p>
            <w:pPr>
              <w:keepNext w:val="0"/>
              <w:keepLines w:val="0"/>
              <w:pageBreakBefore w:val="0"/>
              <w:widowControl w:val="0"/>
              <w:kinsoku/>
              <w:wordWrap/>
              <w:overflowPunct/>
              <w:topLinePunct w:val="0"/>
              <w:autoSpaceDE/>
              <w:autoSpaceDN/>
              <w:bidi w:val="0"/>
              <w:adjustRightInd/>
              <w:snapToGrid/>
              <w:spacing w:before="0" w:line="360" w:lineRule="auto"/>
              <w:ind w:firstLine="480" w:firstLineChars="200"/>
              <w:jc w:val="both"/>
              <w:textAlignment w:val="auto"/>
              <w:rPr>
                <w:rFonts w:hint="default" w:ascii="Times New Roman" w:hAnsi="Times New Roman" w:cs="Times New Roman"/>
                <w:color w:val="auto"/>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6" w:hRule="atLeast"/>
        </w:trPr>
        <w:tc>
          <w:tcPr>
            <w:tcW w:w="983" w:type="pct"/>
            <w:vAlign w:val="center"/>
          </w:tcPr>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验收监测报告</w:t>
            </w:r>
          </w:p>
          <w:p>
            <w:pPr>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形成过程</w:t>
            </w:r>
          </w:p>
        </w:tc>
        <w:tc>
          <w:tcPr>
            <w:tcW w:w="4016" w:type="pct"/>
            <w:gridSpan w:val="6"/>
            <w:vAlign w:val="center"/>
          </w:tcPr>
          <w:p>
            <w:pPr>
              <w:spacing w:line="360" w:lineRule="auto"/>
              <w:ind w:firstLine="480" w:firstLineChars="200"/>
              <w:jc w:val="both"/>
              <w:rPr>
                <w:rFonts w:hint="default" w:ascii="Times New Roman" w:hAnsi="Times New Roman" w:cs="Times New Roman"/>
                <w:color w:val="auto"/>
                <w:sz w:val="24"/>
                <w:szCs w:val="24"/>
                <w:highlight w:val="none"/>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highlight w:val="none"/>
                <w:lang w:eastAsia="zh-CN"/>
              </w:rPr>
              <w:t>202</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年</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eastAsia="zh-CN"/>
              </w:rPr>
              <w:t>月，</w:t>
            </w:r>
            <w:r>
              <w:rPr>
                <w:rFonts w:hint="default" w:ascii="Times New Roman" w:hAnsi="Times New Roman" w:cs="Times New Roman"/>
                <w:color w:val="auto"/>
                <w:sz w:val="24"/>
                <w:szCs w:val="24"/>
                <w:lang w:eastAsia="zh-CN"/>
              </w:rPr>
              <w:t>山东永聚医药科技股份有限公司</w:t>
            </w:r>
            <w:r>
              <w:rPr>
                <w:rFonts w:hint="default" w:ascii="Times New Roman" w:hAnsi="Times New Roman" w:cs="Times New Roman"/>
                <w:color w:val="auto"/>
                <w:sz w:val="24"/>
                <w:szCs w:val="24"/>
                <w:highlight w:val="none"/>
                <w:lang w:eastAsia="zh-CN"/>
              </w:rPr>
              <w:t>委托淄博国源检测有限公司承担该项目的竣工环境保护验收工作。接受委托后，淄博国源检测有限公司于202</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年</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eastAsia="zh-CN"/>
              </w:rPr>
              <w:t>月</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eastAsia="zh-CN"/>
              </w:rPr>
              <w:t>日</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eastAsia="zh-CN"/>
              </w:rPr>
              <w:t>月</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val="en-US" w:eastAsia="zh-CN"/>
              </w:rPr>
              <w:t>日</w:t>
            </w:r>
            <w:r>
              <w:rPr>
                <w:rFonts w:hint="default" w:ascii="Times New Roman" w:hAnsi="Times New Roman" w:cs="Times New Roman"/>
                <w:color w:val="auto"/>
                <w:sz w:val="24"/>
                <w:szCs w:val="24"/>
                <w:highlight w:val="none"/>
                <w:lang w:eastAsia="zh-CN"/>
              </w:rPr>
              <w:t>安</w:t>
            </w:r>
            <w:r>
              <w:rPr>
                <w:rFonts w:hint="default" w:ascii="Times New Roman" w:hAnsi="Times New Roman" w:cs="Times New Roman"/>
                <w:color w:val="auto"/>
                <w:sz w:val="24"/>
                <w:szCs w:val="24"/>
                <w:lang w:eastAsia="zh-CN"/>
              </w:rPr>
              <w:t>排专业技术人员对该项目区域进行了现场场勘查和资料收集，并出具验收监测方案</w:t>
            </w:r>
            <w:r>
              <w:rPr>
                <w:rFonts w:hint="default" w:ascii="Times New Roman" w:hAnsi="Times New Roman" w:cs="Times New Roman"/>
                <w:color w:val="auto"/>
                <w:sz w:val="24"/>
                <w:szCs w:val="24"/>
                <w:highlight w:val="none"/>
                <w:lang w:eastAsia="zh-CN"/>
              </w:rPr>
              <w:t>。于202</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年</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eastAsia="zh-CN"/>
              </w:rPr>
              <w:t>月</w:t>
            </w:r>
            <w:r>
              <w:rPr>
                <w:rFonts w:hint="eastAsia" w:cs="Times New Roman"/>
                <w:color w:val="auto"/>
                <w:sz w:val="24"/>
                <w:szCs w:val="24"/>
                <w:highlight w:val="none"/>
                <w:lang w:val="en-US" w:eastAsia="zh-CN"/>
              </w:rPr>
              <w:t>12</w:t>
            </w:r>
            <w:r>
              <w:rPr>
                <w:rFonts w:hint="default" w:ascii="Times New Roman" w:hAnsi="Times New Roman" w:cs="Times New Roman"/>
                <w:color w:val="auto"/>
                <w:sz w:val="24"/>
                <w:szCs w:val="24"/>
                <w:highlight w:val="none"/>
                <w:lang w:eastAsia="zh-CN"/>
              </w:rPr>
              <w:t>日</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eastAsia="zh-CN"/>
              </w:rPr>
              <w:t>月</w:t>
            </w:r>
            <w:r>
              <w:rPr>
                <w:rFonts w:hint="eastAsia" w:cs="Times New Roman"/>
                <w:color w:val="auto"/>
                <w:sz w:val="24"/>
                <w:szCs w:val="24"/>
                <w:highlight w:val="none"/>
                <w:lang w:val="en-US" w:eastAsia="zh-CN"/>
              </w:rPr>
              <w:t>13</w:t>
            </w:r>
            <w:r>
              <w:rPr>
                <w:rFonts w:hint="default" w:ascii="Times New Roman" w:hAnsi="Times New Roman" w:cs="Times New Roman"/>
                <w:color w:val="auto"/>
                <w:sz w:val="24"/>
                <w:szCs w:val="24"/>
                <w:highlight w:val="none"/>
                <w:lang w:val="en-US" w:eastAsia="zh-CN"/>
              </w:rPr>
              <w:t>日</w:t>
            </w:r>
            <w:r>
              <w:rPr>
                <w:rFonts w:hint="default" w:ascii="Times New Roman" w:hAnsi="Times New Roman" w:cs="Times New Roman"/>
                <w:color w:val="auto"/>
                <w:sz w:val="24"/>
                <w:szCs w:val="24"/>
                <w:highlight w:val="none"/>
                <w:lang w:eastAsia="zh-CN"/>
              </w:rPr>
              <w:t>对该项目进行了现场监测及检查，根</w:t>
            </w:r>
            <w:r>
              <w:rPr>
                <w:rFonts w:hint="default" w:ascii="Times New Roman" w:hAnsi="Times New Roman" w:cs="Times New Roman"/>
                <w:color w:val="auto"/>
                <w:sz w:val="24"/>
                <w:szCs w:val="24"/>
                <w:lang w:eastAsia="zh-CN"/>
              </w:rPr>
              <w:t>据监测和检查的结果编制了本项目验收监测报告。</w:t>
            </w:r>
          </w:p>
          <w:p>
            <w:pPr>
              <w:spacing w:line="360" w:lineRule="auto"/>
              <w:ind w:firstLine="480" w:firstLineChars="200"/>
              <w:jc w:val="both"/>
              <w:rPr>
                <w:rFonts w:hint="default" w:ascii="Times New Roman" w:hAnsi="Times New Roman" w:cs="Times New Roman"/>
                <w:color w:val="auto"/>
                <w:sz w:val="24"/>
                <w:szCs w:val="24"/>
                <w:lang w:eastAsia="zh-CN"/>
              </w:rPr>
            </w:pPr>
          </w:p>
        </w:tc>
      </w:tr>
    </w:tbl>
    <w:p>
      <w:pPr>
        <w:spacing w:line="360" w:lineRule="auto"/>
        <w:rPr>
          <w:rFonts w:hint="default" w:ascii="Times New Roman" w:hAnsi="Times New Roman" w:cs="Times New Roman"/>
          <w:b/>
          <w:bCs/>
          <w:color w:val="auto"/>
          <w:sz w:val="24"/>
          <w:szCs w:val="24"/>
          <w:lang w:eastAsia="zh-CN"/>
        </w:rPr>
      </w:pPr>
      <w:r>
        <w:rPr>
          <w:rFonts w:hint="default" w:ascii="Times New Roman" w:hAnsi="Times New Roman" w:cs="Times New Roman"/>
          <w:color w:val="0000FF"/>
          <w:sz w:val="28"/>
          <w:lang w:eastAsia="zh-CN"/>
        </w:rPr>
        <w:br w:type="page"/>
      </w:r>
      <w:r>
        <w:rPr>
          <w:rFonts w:hint="default" w:ascii="Times New Roman" w:hAnsi="Times New Roman" w:cs="Times New Roman"/>
          <w:b/>
          <w:bCs/>
          <w:color w:val="auto"/>
          <w:sz w:val="24"/>
          <w:szCs w:val="24"/>
          <w:lang w:eastAsia="zh-CN"/>
        </w:rPr>
        <w:t>表二、验收依据</w:t>
      </w:r>
    </w:p>
    <w:tbl>
      <w:tblPr>
        <w:tblStyle w:val="19"/>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55"/>
        <w:gridCol w:w="73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4" w:hRule="atLeast"/>
        </w:trPr>
        <w:tc>
          <w:tcPr>
            <w:tcW w:w="1004" w:type="pct"/>
            <w:vAlign w:val="center"/>
          </w:tcPr>
          <w:p>
            <w:pPr>
              <w:spacing w:line="364" w:lineRule="exact"/>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建设项目环境保护相关法律、法规、规章和</w:t>
            </w:r>
          </w:p>
          <w:p>
            <w:pPr>
              <w:spacing w:line="364" w:lineRule="exact"/>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规范</w:t>
            </w:r>
          </w:p>
        </w:tc>
        <w:tc>
          <w:tcPr>
            <w:tcW w:w="3995" w:type="pct"/>
            <w:vAlign w:val="center"/>
          </w:tcPr>
          <w:p>
            <w:pPr>
              <w:spacing w:line="360" w:lineRule="auto"/>
              <w:jc w:val="both"/>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《中华人民共和国环境保护法》（2015年1月1日起施行）；</w:t>
            </w:r>
          </w:p>
          <w:p>
            <w:pPr>
              <w:spacing w:line="360" w:lineRule="auto"/>
              <w:jc w:val="both"/>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《中华人民共和国环境影响评价法》（2016.9.1实施，2018年12月29日修正）；</w:t>
            </w:r>
          </w:p>
          <w:p>
            <w:pPr>
              <w:spacing w:line="360" w:lineRule="auto"/>
              <w:jc w:val="both"/>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《中华人民共和国水污染防治法》（2018年1月1日起施行）；</w:t>
            </w:r>
          </w:p>
          <w:p>
            <w:pPr>
              <w:spacing w:line="360" w:lineRule="auto"/>
              <w:jc w:val="both"/>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《中华人民共和国大气污染防治法》（2018.10.26修正）；</w:t>
            </w:r>
          </w:p>
          <w:p>
            <w:pPr>
              <w:spacing w:line="360" w:lineRule="auto"/>
              <w:jc w:val="both"/>
              <w:rPr>
                <w:rFonts w:hint="default" w:ascii="Times New Roman" w:hAnsi="Times New Roman" w:cs="Times New Roman"/>
                <w:sz w:val="24"/>
                <w:szCs w:val="24"/>
                <w:highlight w:val="yellow"/>
                <w:lang w:eastAsia="zh-CN"/>
              </w:rPr>
            </w:pPr>
            <w:r>
              <w:rPr>
                <w:rFonts w:hint="default" w:ascii="Times New Roman" w:hAnsi="Times New Roman" w:cs="Times New Roman"/>
                <w:sz w:val="24"/>
                <w:szCs w:val="24"/>
                <w:highlight w:val="none"/>
                <w:lang w:eastAsia="zh-CN"/>
              </w:rPr>
              <w:t>《中华人民共和国噪声污染防治法》（2022年6月5日起施行）；</w:t>
            </w:r>
          </w:p>
          <w:p>
            <w:pPr>
              <w:spacing w:line="360" w:lineRule="auto"/>
              <w:jc w:val="both"/>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《中华人民共和国固体废物污染环境防治法》，（2020.4.29修订）；</w:t>
            </w:r>
          </w:p>
          <w:p>
            <w:pPr>
              <w:spacing w:line="360" w:lineRule="auto"/>
              <w:jc w:val="both"/>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《建设项目环境保护管理条例》（2017年10月1日起施行）；</w:t>
            </w:r>
          </w:p>
          <w:p>
            <w:pPr>
              <w:spacing w:line="360" w:lineRule="auto"/>
              <w:jc w:val="both"/>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《建设项目环境影响评价分类管理名录》</w:t>
            </w:r>
            <w:r>
              <w:rPr>
                <w:rFonts w:hint="default" w:ascii="Times New Roman" w:hAnsi="Times New Roman" w:cs="Times New Roman"/>
                <w:sz w:val="24"/>
                <w:lang w:eastAsia="zh-CN"/>
              </w:rPr>
              <w:t>（2021版）（部令第16号）</w:t>
            </w:r>
            <w:r>
              <w:rPr>
                <w:rFonts w:hint="default" w:ascii="Times New Roman" w:hAnsi="Times New Roman" w:cs="Times New Roman"/>
                <w:sz w:val="24"/>
                <w:szCs w:val="24"/>
                <w:lang w:eastAsia="zh-CN"/>
              </w:rPr>
              <w:t>；</w:t>
            </w:r>
          </w:p>
          <w:p>
            <w:pPr>
              <w:spacing w:line="360" w:lineRule="auto"/>
              <w:jc w:val="both"/>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《区域性大气污染物综合排放标准》（DB37/ 2376-2019）；</w:t>
            </w:r>
          </w:p>
          <w:p>
            <w:pPr>
              <w:spacing w:line="360" w:lineRule="auto"/>
              <w:jc w:val="both"/>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《工业企业厂界环境噪声排放标准》（GB12348-2008）；</w:t>
            </w:r>
          </w:p>
          <w:p>
            <w:pPr>
              <w:spacing w:line="360" w:lineRule="auto"/>
              <w:jc w:val="both"/>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《一般工业固体废物贮存和填埋污染控制标准》（GB18599-2020）；</w:t>
            </w:r>
          </w:p>
          <w:p>
            <w:pPr>
              <w:spacing w:line="360" w:lineRule="auto"/>
              <w:jc w:val="both"/>
              <w:rPr>
                <w:rFonts w:hint="default" w:ascii="Times New Roman" w:hAnsi="Times New Roman" w:cs="Times New Roman"/>
                <w:color w:val="auto"/>
                <w:sz w:val="24"/>
                <w:szCs w:val="24"/>
                <w:lang w:eastAsia="zh-CN"/>
              </w:rPr>
            </w:pPr>
            <w:r>
              <w:rPr>
                <w:rFonts w:hint="default" w:ascii="Times New Roman" w:hAnsi="Times New Roman" w:cs="Times New Roman"/>
                <w:sz w:val="24"/>
                <w:szCs w:val="24"/>
                <w:lang w:eastAsia="zh-CN"/>
              </w:rPr>
              <w:t>《危险废物贮存污染控制标准》（GB 18597-2023）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4" w:hRule="atLeast"/>
        </w:trPr>
        <w:tc>
          <w:tcPr>
            <w:tcW w:w="1004" w:type="pct"/>
            <w:vAlign w:val="center"/>
          </w:tcPr>
          <w:p>
            <w:pPr>
              <w:spacing w:line="364" w:lineRule="exact"/>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建设项目竣工环境保护验收技术规范</w:t>
            </w:r>
          </w:p>
        </w:tc>
        <w:tc>
          <w:tcPr>
            <w:tcW w:w="3995" w:type="pct"/>
            <w:vAlign w:val="center"/>
          </w:tcPr>
          <w:p>
            <w:pPr>
              <w:spacing w:line="360" w:lineRule="auto"/>
              <w:jc w:val="both"/>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《建设项目竣工环境保护验收暂行办法》（国环规环评</w:t>
            </w:r>
            <w:r>
              <w:rPr>
                <w:rFonts w:hint="eastAsia" w:cs="Times New Roman"/>
                <w:sz w:val="24"/>
                <w:szCs w:val="24"/>
                <w:lang w:eastAsia="zh-CN"/>
              </w:rPr>
              <w:t>【</w:t>
            </w:r>
            <w:r>
              <w:rPr>
                <w:rFonts w:hint="default" w:ascii="Times New Roman" w:hAnsi="Times New Roman" w:cs="Times New Roman"/>
                <w:sz w:val="24"/>
                <w:szCs w:val="24"/>
                <w:lang w:eastAsia="zh-CN"/>
              </w:rPr>
              <w:t>2017</w:t>
            </w:r>
            <w:r>
              <w:rPr>
                <w:rFonts w:hint="eastAsia" w:cs="Times New Roman"/>
                <w:sz w:val="24"/>
                <w:szCs w:val="24"/>
                <w:lang w:eastAsia="zh-CN"/>
              </w:rPr>
              <w:t>】</w:t>
            </w:r>
            <w:r>
              <w:rPr>
                <w:rFonts w:hint="default" w:ascii="Times New Roman" w:hAnsi="Times New Roman" w:cs="Times New Roman"/>
                <w:sz w:val="24"/>
                <w:szCs w:val="24"/>
                <w:lang w:eastAsia="zh-CN"/>
              </w:rPr>
              <w:t>4号）；</w:t>
            </w:r>
          </w:p>
          <w:p>
            <w:pPr>
              <w:widowControl/>
              <w:autoSpaceDE/>
              <w:autoSpaceDN/>
              <w:adjustRightInd w:val="0"/>
              <w:snapToGrid w:val="0"/>
              <w:spacing w:line="360" w:lineRule="auto"/>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《关于印发&lt;污染影响类建设项目重大变动清单&gt;（试行）的通知》（环办环评函【</w:t>
            </w:r>
            <w:r>
              <w:rPr>
                <w:rFonts w:hint="eastAsia" w:cs="Times New Roman"/>
                <w:sz w:val="24"/>
                <w:szCs w:val="24"/>
                <w:lang w:val="en-US" w:eastAsia="zh-CN"/>
              </w:rPr>
              <w:t>2020</w:t>
            </w:r>
            <w:r>
              <w:rPr>
                <w:rFonts w:hint="default" w:ascii="Times New Roman" w:hAnsi="Times New Roman" w:eastAsia="宋体" w:cs="Times New Roman"/>
                <w:sz w:val="24"/>
                <w:szCs w:val="24"/>
                <w:lang w:eastAsia="zh-CN"/>
              </w:rPr>
              <w:t>】688号）；</w:t>
            </w:r>
          </w:p>
          <w:p>
            <w:pPr>
              <w:widowControl/>
              <w:autoSpaceDE/>
              <w:autoSpaceDN/>
              <w:adjustRightInd w:val="0"/>
              <w:snapToGrid w:val="0"/>
              <w:spacing w:line="360" w:lineRule="auto"/>
              <w:jc w:val="both"/>
              <w:rPr>
                <w:rFonts w:hint="default" w:ascii="Times New Roman" w:hAnsi="Times New Roman" w:cs="Times New Roman"/>
                <w:sz w:val="24"/>
                <w:szCs w:val="24"/>
                <w:lang w:eastAsia="zh-CN"/>
              </w:rPr>
            </w:pPr>
            <w:r>
              <w:rPr>
                <w:rFonts w:hint="default" w:ascii="Times New Roman" w:hAnsi="Times New Roman" w:cs="Times New Roman"/>
                <w:color w:val="000000"/>
                <w:sz w:val="24"/>
                <w:szCs w:val="24"/>
                <w:lang w:eastAsia="zh-CN"/>
              </w:rPr>
              <w:t>《临淄区关于规范建设单位自主开展建设项目环境保护竣工验收的通知》；</w:t>
            </w:r>
          </w:p>
          <w:p>
            <w:pPr>
              <w:spacing w:line="360" w:lineRule="auto"/>
              <w:jc w:val="both"/>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《建设项目竣工环境保护验收技术指南 污染影响类》；</w:t>
            </w:r>
          </w:p>
          <w:p>
            <w:pPr>
              <w:spacing w:line="360" w:lineRule="auto"/>
              <w:jc w:val="both"/>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《排污单位自行监测技术指南 导则》；</w:t>
            </w:r>
          </w:p>
          <w:p>
            <w:pPr>
              <w:keepNext w:val="0"/>
              <w:keepLines w:val="0"/>
              <w:widowControl/>
              <w:suppressLineNumbers w:val="0"/>
              <w:spacing w:line="360" w:lineRule="auto"/>
              <w:jc w:val="both"/>
              <w:rPr>
                <w:rFonts w:hint="default"/>
                <w:lang w:eastAsia="zh-CN"/>
              </w:rPr>
            </w:pPr>
            <w:r>
              <w:rPr>
                <w:rFonts w:hint="default" w:ascii="Times New Roman" w:hAnsi="Times New Roman" w:eastAsia="宋体" w:cs="Times New Roman"/>
                <w:b w:val="0"/>
                <w:bCs w:val="0"/>
                <w:color w:val="auto"/>
                <w:sz w:val="24"/>
                <w:szCs w:val="24"/>
                <w:highlight w:val="none"/>
                <w:vertAlign w:val="baseline"/>
                <w:lang w:eastAsia="zh-CN"/>
              </w:rPr>
              <w:t>《</w:t>
            </w:r>
            <w:r>
              <w:rPr>
                <w:rFonts w:hint="default" w:ascii="Times New Roman" w:hAnsi="Times New Roman" w:eastAsia="宋体" w:cs="Times New Roman"/>
                <w:b w:val="0"/>
                <w:bCs w:val="0"/>
                <w:color w:val="auto"/>
                <w:sz w:val="24"/>
                <w:szCs w:val="24"/>
                <w:highlight w:val="none"/>
                <w:vertAlign w:val="baseline"/>
                <w:lang w:val="en-US" w:eastAsia="zh-CN"/>
              </w:rPr>
              <w:t>排污许可证申请与核发技术规</w:t>
            </w:r>
            <w:r>
              <w:rPr>
                <w:rFonts w:hint="default" w:ascii="Times New Roman" w:hAnsi="Times New Roman" w:cs="Times New Roman"/>
                <w:b w:val="0"/>
                <w:bCs w:val="0"/>
                <w:color w:val="auto"/>
                <w:sz w:val="24"/>
                <w:szCs w:val="24"/>
                <w:highlight w:val="none"/>
                <w:vertAlign w:val="baseline"/>
                <w:lang w:val="en-US" w:eastAsia="zh-CN"/>
              </w:rPr>
              <w:t>范 橡胶和塑料制品工业</w:t>
            </w:r>
            <w:r>
              <w:rPr>
                <w:rFonts w:hint="default" w:ascii="Times New Roman" w:hAnsi="Times New Roman" w:eastAsia="宋体" w:cs="Times New Roman"/>
                <w:b w:val="0"/>
                <w:bCs w:val="0"/>
                <w:color w:val="auto"/>
                <w:sz w:val="24"/>
                <w:szCs w:val="24"/>
                <w:highlight w:val="none"/>
                <w:vertAlign w:val="baseline"/>
                <w:lang w:eastAsia="zh-CN"/>
              </w:rPr>
              <w:t>》</w:t>
            </w:r>
            <w:r>
              <w:rPr>
                <w:rFonts w:hint="eastAsia" w:ascii="Times New Roman" w:hAnsi="Times New Roman" w:eastAsia="宋体" w:cs="Times New Roman"/>
                <w:b w:val="0"/>
                <w:bCs w:val="0"/>
                <w:color w:val="auto"/>
                <w:sz w:val="24"/>
                <w:szCs w:val="24"/>
                <w:highlight w:val="none"/>
                <w:vertAlign w:val="baseline"/>
                <w:lang w:eastAsia="zh-CN"/>
              </w:rPr>
              <w:t>（</w:t>
            </w:r>
            <w:r>
              <w:rPr>
                <w:rFonts w:hint="eastAsia" w:ascii="Times New Roman" w:hAnsi="Times New Roman" w:eastAsia="宋体" w:cs="Times New Roman"/>
                <w:b w:val="0"/>
                <w:bCs w:val="0"/>
                <w:color w:val="auto"/>
                <w:sz w:val="24"/>
                <w:szCs w:val="24"/>
                <w:highlight w:val="none"/>
                <w:vertAlign w:val="baseline"/>
                <w:lang w:val="en-US" w:eastAsia="zh-CN"/>
              </w:rPr>
              <w:t>HJ</w:t>
            </w:r>
            <w:r>
              <w:rPr>
                <w:rFonts w:hint="eastAsia" w:ascii="Times New Roman" w:hAnsi="Times New Roman" w:cs="Times New Roman"/>
                <w:b w:val="0"/>
                <w:bCs w:val="0"/>
                <w:color w:val="auto"/>
                <w:sz w:val="24"/>
                <w:szCs w:val="24"/>
                <w:highlight w:val="none"/>
                <w:vertAlign w:val="baseline"/>
                <w:lang w:val="en-US" w:eastAsia="zh-CN"/>
              </w:rPr>
              <w:t>1121</w:t>
            </w:r>
            <w:r>
              <w:rPr>
                <w:rFonts w:hint="eastAsia" w:ascii="Times New Roman" w:hAnsi="Times New Roman" w:eastAsia="宋体" w:cs="Times New Roman"/>
                <w:b w:val="0"/>
                <w:bCs w:val="0"/>
                <w:color w:val="auto"/>
                <w:sz w:val="24"/>
                <w:szCs w:val="24"/>
                <w:highlight w:val="none"/>
                <w:vertAlign w:val="baseline"/>
                <w:lang w:val="en-US" w:eastAsia="zh-CN"/>
              </w:rPr>
              <w:t>-20</w:t>
            </w:r>
            <w:r>
              <w:rPr>
                <w:rFonts w:hint="eastAsia" w:ascii="Times New Roman" w:hAnsi="Times New Roman" w:cs="Times New Roman"/>
                <w:b w:val="0"/>
                <w:bCs w:val="0"/>
                <w:color w:val="auto"/>
                <w:sz w:val="24"/>
                <w:szCs w:val="24"/>
                <w:highlight w:val="none"/>
                <w:vertAlign w:val="baseline"/>
                <w:lang w:val="en-US" w:eastAsia="zh-CN"/>
              </w:rPr>
              <w:t>20</w:t>
            </w:r>
            <w:r>
              <w:rPr>
                <w:rFonts w:hint="eastAsia" w:ascii="Times New Roman" w:hAnsi="Times New Roman" w:eastAsia="宋体" w:cs="Times New Roman"/>
                <w:b w:val="0"/>
                <w:bCs w:val="0"/>
                <w:color w:val="auto"/>
                <w:sz w:val="24"/>
                <w:szCs w:val="24"/>
                <w:highlight w:val="none"/>
                <w:vertAlign w:val="baseline"/>
                <w:lang w:eastAsia="zh-CN"/>
              </w:rPr>
              <w:t>）</w:t>
            </w:r>
            <w:r>
              <w:rPr>
                <w:rFonts w:hint="default" w:ascii="Times New Roman" w:hAnsi="Times New Roman" w:eastAsia="宋体" w:cs="Times New Roman"/>
                <w:b w:val="0"/>
                <w:bCs w:val="0"/>
                <w:color w:val="auto"/>
                <w:sz w:val="24"/>
                <w:szCs w:val="24"/>
                <w:highlight w:val="none"/>
                <w:vertAlign w:val="baseline"/>
                <w:lang w:eastAsia="zh-CN"/>
              </w:rPr>
              <w:t>；</w:t>
            </w:r>
          </w:p>
          <w:p>
            <w:pPr>
              <w:spacing w:line="360" w:lineRule="auto"/>
              <w:jc w:val="both"/>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《固定污染源排污许可分类管理名录（2019年版）》；</w:t>
            </w:r>
          </w:p>
          <w:p>
            <w:pPr>
              <w:spacing w:line="360" w:lineRule="auto"/>
              <w:jc w:val="both"/>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《环境保护图形标志-排放口（源）》（GB15562.1-1995）；</w:t>
            </w:r>
          </w:p>
          <w:p>
            <w:pPr>
              <w:spacing w:line="360" w:lineRule="auto"/>
              <w:jc w:val="both"/>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《固定源废气监测技术规范》</w:t>
            </w:r>
            <w:r>
              <w:rPr>
                <w:rFonts w:hint="eastAsia" w:cs="Times New Roman"/>
                <w:sz w:val="24"/>
                <w:szCs w:val="24"/>
                <w:lang w:eastAsia="zh-CN"/>
              </w:rPr>
              <w:t>（</w:t>
            </w:r>
            <w:r>
              <w:rPr>
                <w:rFonts w:hint="default" w:ascii="Times New Roman" w:hAnsi="Times New Roman" w:cs="Times New Roman"/>
                <w:sz w:val="24"/>
                <w:szCs w:val="24"/>
                <w:lang w:eastAsia="zh-CN"/>
              </w:rPr>
              <w:t>HJ/T 397-2007</w:t>
            </w:r>
            <w:r>
              <w:rPr>
                <w:rFonts w:hint="eastAsia" w:cs="Times New Roman"/>
                <w:sz w:val="24"/>
                <w:szCs w:val="24"/>
                <w:lang w:eastAsia="zh-CN"/>
              </w:rPr>
              <w:t>）</w:t>
            </w:r>
            <w:r>
              <w:rPr>
                <w:rFonts w:hint="default" w:ascii="Times New Roman" w:hAnsi="Times New Roman" w:cs="Times New Roman"/>
                <w:sz w:val="24"/>
                <w:szCs w:val="24"/>
                <w:lang w:eastAsia="zh-CN"/>
              </w:rPr>
              <w:t>；</w:t>
            </w:r>
          </w:p>
          <w:p>
            <w:pPr>
              <w:spacing w:line="360" w:lineRule="auto"/>
              <w:jc w:val="both"/>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《固定污染源监测质量保证与质量控制技术规范》</w:t>
            </w:r>
            <w:r>
              <w:rPr>
                <w:rFonts w:hint="eastAsia" w:cs="Times New Roman"/>
                <w:sz w:val="24"/>
                <w:szCs w:val="24"/>
                <w:lang w:eastAsia="zh-CN"/>
              </w:rPr>
              <w:t>（</w:t>
            </w:r>
            <w:r>
              <w:rPr>
                <w:rFonts w:hint="default" w:ascii="Times New Roman" w:hAnsi="Times New Roman" w:cs="Times New Roman"/>
                <w:sz w:val="24"/>
                <w:szCs w:val="24"/>
                <w:lang w:eastAsia="zh-CN"/>
              </w:rPr>
              <w:t>HJ/T373-2007</w:t>
            </w:r>
            <w:r>
              <w:rPr>
                <w:rFonts w:hint="eastAsia" w:cs="Times New Roman"/>
                <w:sz w:val="24"/>
                <w:szCs w:val="24"/>
                <w:lang w:eastAsia="zh-CN"/>
              </w:rPr>
              <w:t>）</w:t>
            </w:r>
            <w:r>
              <w:rPr>
                <w:rFonts w:hint="default" w:ascii="Times New Roman" w:hAnsi="Times New Roman" w:cs="Times New Roman"/>
                <w:sz w:val="24"/>
                <w:szCs w:val="24"/>
                <w:lang w:eastAsia="zh-CN"/>
              </w:rPr>
              <w:t>；</w:t>
            </w:r>
          </w:p>
          <w:p>
            <w:pPr>
              <w:spacing w:line="360" w:lineRule="auto"/>
              <w:jc w:val="both"/>
              <w:rPr>
                <w:rFonts w:hint="default" w:ascii="Times New Roman" w:hAnsi="Times New Roman" w:cs="Times New Roman"/>
                <w:color w:val="auto"/>
                <w:sz w:val="24"/>
                <w:szCs w:val="24"/>
                <w:lang w:val="en-US" w:eastAsia="zh-CN"/>
              </w:rPr>
            </w:pPr>
            <w:r>
              <w:rPr>
                <w:rFonts w:hint="default" w:ascii="Times New Roman" w:hAnsi="Times New Roman" w:cs="Times New Roman"/>
                <w:sz w:val="24"/>
                <w:szCs w:val="24"/>
                <w:lang w:eastAsia="zh-CN"/>
              </w:rPr>
              <w:t>《环境噪声监测技术规范噪声测量值修正》</w:t>
            </w:r>
            <w:r>
              <w:rPr>
                <w:rFonts w:hint="eastAsia" w:cs="Times New Roman"/>
                <w:sz w:val="24"/>
                <w:szCs w:val="24"/>
                <w:lang w:val="en-US" w:eastAsia="zh-CN"/>
              </w:rPr>
              <w:t>（</w:t>
            </w:r>
            <w:r>
              <w:rPr>
                <w:rFonts w:hint="default" w:ascii="Times New Roman" w:hAnsi="Times New Roman" w:cs="Times New Roman"/>
                <w:sz w:val="24"/>
                <w:szCs w:val="24"/>
                <w:lang w:eastAsia="zh-CN"/>
              </w:rPr>
              <w:t>HJ 706-2014</w:t>
            </w:r>
            <w:r>
              <w:rPr>
                <w:rFonts w:hint="eastAsia" w:cs="Times New Roman"/>
                <w:sz w:val="24"/>
                <w:szCs w:val="24"/>
                <w:lang w:eastAsia="zh-CN"/>
              </w:rPr>
              <w:t>）</w:t>
            </w:r>
            <w:r>
              <w:rPr>
                <w:rFonts w:hint="default" w:ascii="Times New Roman" w:hAnsi="Times New Roman" w:cs="Times New Roman"/>
                <w:sz w:val="24"/>
                <w:szCs w:val="24"/>
                <w:lang w:eastAsia="zh-CN"/>
              </w:rPr>
              <w:t>。</w:t>
            </w:r>
            <w:r>
              <w:rPr>
                <w:rFonts w:hint="eastAsia" w:ascii="Times New Roman" w:hAnsi="Times New Roman" w:cs="Times New Roman"/>
                <w:sz w:val="24"/>
                <w:szCs w:val="24"/>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7" w:hRule="atLeast"/>
        </w:trPr>
        <w:tc>
          <w:tcPr>
            <w:tcW w:w="1004" w:type="pct"/>
            <w:vAlign w:val="center"/>
          </w:tcPr>
          <w:p>
            <w:pPr>
              <w:spacing w:line="364" w:lineRule="exact"/>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建设项目环境影响报告书（表）及审批</w:t>
            </w:r>
          </w:p>
          <w:p>
            <w:pPr>
              <w:spacing w:line="364" w:lineRule="exact"/>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部门审批决定</w:t>
            </w:r>
          </w:p>
        </w:tc>
        <w:tc>
          <w:tcPr>
            <w:tcW w:w="3995" w:type="pct"/>
            <w:vAlign w:val="center"/>
          </w:tcPr>
          <w:p>
            <w:pPr>
              <w:spacing w:line="360" w:lineRule="auto"/>
              <w:ind w:firstLine="480" w:firstLineChars="200"/>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山东美陵中联环境工程有限公司</w:t>
            </w:r>
            <w:r>
              <w:rPr>
                <w:rFonts w:hint="eastAsia" w:cs="Times New Roman"/>
                <w:color w:val="auto"/>
                <w:sz w:val="24"/>
                <w:szCs w:val="24"/>
                <w:highlight w:val="none"/>
                <w:lang w:val="en-US" w:eastAsia="zh-CN"/>
              </w:rPr>
              <w:t>于2023年6月</w:t>
            </w:r>
            <w:r>
              <w:rPr>
                <w:rFonts w:hint="default" w:ascii="Times New Roman" w:hAnsi="Times New Roman" w:cs="Times New Roman"/>
                <w:color w:val="auto"/>
                <w:sz w:val="24"/>
                <w:szCs w:val="24"/>
                <w:highlight w:val="none"/>
                <w:lang w:eastAsia="zh-CN"/>
              </w:rPr>
              <w:t>编制《医药包装产业基地塑料加工制造技术改造项目环境影响报告表》。</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highlight w:val="none"/>
                <w:lang w:eastAsia="zh-CN"/>
              </w:rPr>
              <w:t>淄博市生态环境局临淄分局</w:t>
            </w:r>
            <w:r>
              <w:rPr>
                <w:rFonts w:hint="eastAsia" w:cs="Times New Roman"/>
                <w:color w:val="auto"/>
                <w:sz w:val="24"/>
                <w:szCs w:val="24"/>
                <w:highlight w:val="none"/>
                <w:lang w:val="en-US" w:eastAsia="zh-CN"/>
              </w:rPr>
              <w:t>于2023年9月4日出具</w:t>
            </w:r>
            <w:r>
              <w:rPr>
                <w:rFonts w:hint="default" w:ascii="Times New Roman" w:hAnsi="Times New Roman" w:cs="Times New Roman"/>
                <w:color w:val="auto"/>
                <w:sz w:val="24"/>
                <w:szCs w:val="24"/>
                <w:highlight w:val="none"/>
                <w:lang w:eastAsia="zh-CN"/>
              </w:rPr>
              <w:t>《关于对山东永聚医药科技有限公司医药包装产业基地塑料加工制造技术改造项目环境影响报告表的审批意见》（临环审字【20</w:t>
            </w:r>
            <w:r>
              <w:rPr>
                <w:rFonts w:hint="eastAsia" w:cs="Times New Roman"/>
                <w:color w:val="auto"/>
                <w:sz w:val="24"/>
                <w:szCs w:val="24"/>
                <w:highlight w:val="none"/>
                <w:lang w:val="en-US" w:eastAsia="zh-CN"/>
              </w:rPr>
              <w:t>23</w:t>
            </w:r>
            <w:r>
              <w:rPr>
                <w:rFonts w:hint="default" w:ascii="Times New Roman" w:hAnsi="Times New Roman" w:cs="Times New Roman"/>
                <w:color w:val="auto"/>
                <w:sz w:val="24"/>
                <w:szCs w:val="24"/>
                <w:highlight w:val="none"/>
                <w:lang w:eastAsia="zh-CN"/>
              </w:rPr>
              <w:t>】04</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eastAsia="zh-CN"/>
              </w:rPr>
              <w:t>号）</w:t>
            </w:r>
            <w:r>
              <w:rPr>
                <w:rFonts w:hint="eastAsia" w:cs="Times New Roman"/>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0" w:hRule="atLeast"/>
        </w:trPr>
        <w:tc>
          <w:tcPr>
            <w:tcW w:w="1004" w:type="pct"/>
            <w:vAlign w:val="center"/>
          </w:tcPr>
          <w:p>
            <w:pPr>
              <w:spacing w:line="364" w:lineRule="exact"/>
              <w:jc w:val="center"/>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主要污染物</w:t>
            </w:r>
          </w:p>
          <w:p>
            <w:pPr>
              <w:spacing w:line="364" w:lineRule="exact"/>
              <w:jc w:val="center"/>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总量审批文件</w:t>
            </w:r>
          </w:p>
        </w:tc>
        <w:tc>
          <w:tcPr>
            <w:tcW w:w="3995" w:type="pct"/>
            <w:vAlign w:val="center"/>
          </w:tcPr>
          <w:p>
            <w:pPr>
              <w:spacing w:line="360" w:lineRule="auto"/>
              <w:ind w:firstLine="480" w:firstLineChars="200"/>
              <w:jc w:val="both"/>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2023年8月25日，本项目</w:t>
            </w:r>
            <w:r>
              <w:rPr>
                <w:rFonts w:hint="default" w:ascii="Times New Roman" w:hAnsi="Times New Roman" w:cs="Times New Roman"/>
                <w:color w:val="auto"/>
                <w:sz w:val="24"/>
                <w:szCs w:val="24"/>
                <w:highlight w:val="none"/>
                <w:lang w:eastAsia="zh-CN"/>
              </w:rPr>
              <w:t>取得淄博市生态环境局临淄分局</w:t>
            </w:r>
            <w:r>
              <w:rPr>
                <w:rFonts w:hint="eastAsia" w:ascii="Times New Roman" w:hAnsi="Times New Roman" w:cs="Times New Roman"/>
                <w:color w:val="auto"/>
                <w:sz w:val="24"/>
                <w:szCs w:val="24"/>
                <w:highlight w:val="none"/>
                <w:lang w:val="en-US" w:eastAsia="zh-CN"/>
              </w:rPr>
              <w:t>制</w:t>
            </w:r>
            <w:r>
              <w:rPr>
                <w:rFonts w:hint="default" w:ascii="Times New Roman" w:hAnsi="Times New Roman" w:cs="Times New Roman"/>
                <w:color w:val="auto"/>
                <w:sz w:val="24"/>
                <w:szCs w:val="24"/>
                <w:highlight w:val="none"/>
                <w:lang w:eastAsia="zh-CN"/>
              </w:rPr>
              <w:t>总量批复文件</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临淄区建设项目污染物总量确认书</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编号：LZZL【2023】045号</w:t>
            </w:r>
            <w:r>
              <w:rPr>
                <w:rFonts w:hint="eastAsia" w:cs="Times New Roman"/>
                <w:color w:val="auto"/>
                <w:sz w:val="24"/>
                <w:szCs w:val="24"/>
                <w:highlight w:val="none"/>
                <w:lang w:eastAsia="zh-CN"/>
              </w:rPr>
              <w:t>），本项目总量控制指标为VOCs 0.167t/a、COD0.33t/a（内控）、氨氮0.024t/a（内控）；全厂总量控制指标为COD 9.57t/a（内控）、氨氮0.944t/a（内控）、VOCs 5.107t/a。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3" w:hRule="atLeast"/>
        </w:trPr>
        <w:tc>
          <w:tcPr>
            <w:tcW w:w="1004" w:type="pct"/>
            <w:vAlign w:val="center"/>
          </w:tcPr>
          <w:p>
            <w:pPr>
              <w:spacing w:line="364" w:lineRule="exact"/>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环境保护部门其他审批文件</w:t>
            </w:r>
          </w:p>
        </w:tc>
        <w:tc>
          <w:tcPr>
            <w:tcW w:w="3995" w:type="pct"/>
            <w:vAlign w:val="center"/>
          </w:tcPr>
          <w:p>
            <w:pPr>
              <w:spacing w:line="360" w:lineRule="auto"/>
              <w:jc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无</w:t>
            </w:r>
          </w:p>
        </w:tc>
      </w:tr>
    </w:tbl>
    <w:p>
      <w:pPr>
        <w:spacing w:line="360" w:lineRule="auto"/>
        <w:rPr>
          <w:rFonts w:hint="default" w:ascii="Times New Roman" w:hAnsi="Times New Roman" w:cs="Times New Roman"/>
          <w:b/>
          <w:bCs/>
          <w:color w:val="auto"/>
          <w:sz w:val="24"/>
          <w:szCs w:val="24"/>
          <w:lang w:eastAsia="zh-CN"/>
        </w:rPr>
      </w:pPr>
    </w:p>
    <w:p>
      <w:pPr>
        <w:spacing w:line="360" w:lineRule="auto"/>
        <w:rPr>
          <w:rFonts w:hint="default" w:ascii="Times New Roman" w:hAnsi="Times New Roman" w:cs="Times New Roman"/>
          <w:b/>
          <w:bCs/>
          <w:color w:val="auto"/>
          <w:sz w:val="24"/>
          <w:szCs w:val="24"/>
          <w:lang w:eastAsia="zh-CN"/>
        </w:rPr>
      </w:pPr>
    </w:p>
    <w:p>
      <w:pPr>
        <w:spacing w:line="360" w:lineRule="auto"/>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表三、工程建设情况</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67" w:hRule="atLeast"/>
        </w:trPr>
        <w:tc>
          <w:tcPr>
            <w:tcW w:w="5000" w:type="pct"/>
          </w:tcPr>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3.1 地理位置及平面布置</w:t>
            </w:r>
          </w:p>
          <w:p>
            <w:pPr>
              <w:spacing w:line="360" w:lineRule="auto"/>
              <w:jc w:val="both"/>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3.1.1项目地理位置</w:t>
            </w:r>
          </w:p>
          <w:p>
            <w:pPr>
              <w:spacing w:line="360" w:lineRule="auto"/>
              <w:ind w:firstLine="480" w:firstLineChars="200"/>
              <w:jc w:val="both"/>
              <w:rPr>
                <w:rFonts w:hint="default" w:ascii="Times New Roman" w:hAnsi="Times New Roman" w:cs="Times New Roman"/>
                <w:sz w:val="24"/>
                <w:szCs w:val="24"/>
                <w:lang w:eastAsia="zh-CN"/>
              </w:rPr>
            </w:pPr>
            <w:r>
              <w:rPr>
                <w:rFonts w:hint="default" w:ascii="Times New Roman" w:hAnsi="Times New Roman" w:eastAsia="宋体" w:cs="Times New Roman"/>
                <w:color w:val="000000"/>
                <w:sz w:val="24"/>
                <w:highlight w:val="none"/>
                <w:lang w:eastAsia="zh-CN"/>
              </w:rPr>
              <w:t>山东永聚医药科技有限公司</w:t>
            </w:r>
            <w:r>
              <w:rPr>
                <w:rFonts w:hint="eastAsia" w:cs="Times New Roman"/>
                <w:color w:val="000000"/>
                <w:sz w:val="24"/>
                <w:highlight w:val="none"/>
                <w:lang w:val="en-US" w:eastAsia="zh-CN"/>
              </w:rPr>
              <w:t>位于</w:t>
            </w:r>
            <w:r>
              <w:rPr>
                <w:rFonts w:hint="default" w:ascii="Times New Roman" w:hAnsi="Times New Roman" w:eastAsia="宋体" w:cs="Times New Roman"/>
                <w:color w:val="000000"/>
                <w:sz w:val="24"/>
                <w:highlight w:val="none"/>
                <w:lang w:eastAsia="zh-CN"/>
              </w:rPr>
              <w:t>淄博市临淄区宏达路1618号（东经118°</w:t>
            </w:r>
            <w:r>
              <w:rPr>
                <w:rFonts w:hint="eastAsia" w:cs="Times New Roman"/>
                <w:color w:val="000000"/>
                <w:sz w:val="24"/>
                <w:highlight w:val="none"/>
                <w:lang w:val="en-US" w:eastAsia="zh-CN"/>
              </w:rPr>
              <w:t>16</w:t>
            </w:r>
            <w:r>
              <w:rPr>
                <w:rFonts w:hint="default" w:ascii="Times New Roman" w:hAnsi="Times New Roman" w:eastAsia="宋体" w:cs="Times New Roman"/>
                <w:color w:val="000000"/>
                <w:sz w:val="24"/>
                <w:highlight w:val="none"/>
                <w:lang w:eastAsia="zh-CN"/>
              </w:rPr>
              <w:t>'</w:t>
            </w:r>
            <w:r>
              <w:rPr>
                <w:rFonts w:hint="eastAsia" w:cs="Times New Roman"/>
                <w:color w:val="000000"/>
                <w:sz w:val="24"/>
                <w:highlight w:val="none"/>
                <w:lang w:val="en-US" w:eastAsia="zh-CN"/>
              </w:rPr>
              <w:t>47.962</w:t>
            </w:r>
            <w:r>
              <w:rPr>
                <w:rFonts w:hint="default" w:ascii="Times New Roman" w:hAnsi="Times New Roman" w:eastAsia="宋体" w:cs="Times New Roman"/>
                <w:color w:val="000000"/>
                <w:sz w:val="24"/>
                <w:highlight w:val="none"/>
                <w:lang w:eastAsia="zh-CN"/>
              </w:rPr>
              <w:t>"，北纬36°</w:t>
            </w:r>
            <w:r>
              <w:rPr>
                <w:rFonts w:hint="eastAsia" w:cs="Times New Roman"/>
                <w:color w:val="000000"/>
                <w:sz w:val="24"/>
                <w:highlight w:val="none"/>
                <w:lang w:val="en-US" w:eastAsia="zh-CN"/>
              </w:rPr>
              <w:t>51</w:t>
            </w:r>
            <w:r>
              <w:rPr>
                <w:rFonts w:hint="default" w:ascii="Times New Roman" w:hAnsi="Times New Roman" w:eastAsia="宋体" w:cs="Times New Roman"/>
                <w:color w:val="000000"/>
                <w:sz w:val="24"/>
                <w:highlight w:val="none"/>
                <w:lang w:eastAsia="zh-CN"/>
              </w:rPr>
              <w:t>'</w:t>
            </w:r>
            <w:r>
              <w:rPr>
                <w:rFonts w:hint="eastAsia" w:cs="Times New Roman"/>
                <w:color w:val="000000"/>
                <w:sz w:val="24"/>
                <w:highlight w:val="none"/>
                <w:lang w:val="en-US" w:eastAsia="zh-CN"/>
              </w:rPr>
              <w:t>39.253</w:t>
            </w:r>
            <w:r>
              <w:rPr>
                <w:rFonts w:hint="default" w:ascii="Times New Roman" w:hAnsi="Times New Roman" w:eastAsia="宋体" w:cs="Times New Roman"/>
                <w:color w:val="000000"/>
                <w:sz w:val="24"/>
                <w:highlight w:val="none"/>
                <w:lang w:eastAsia="zh-CN"/>
              </w:rPr>
              <w:t>"）</w:t>
            </w:r>
            <w:r>
              <w:rPr>
                <w:rFonts w:hint="eastAsia" w:cs="Times New Roman"/>
                <w:color w:val="000000"/>
                <w:sz w:val="24"/>
                <w:highlight w:val="none"/>
                <w:lang w:eastAsia="zh-CN"/>
              </w:rPr>
              <w:t>，</w:t>
            </w:r>
            <w:r>
              <w:rPr>
                <w:rFonts w:hint="default" w:ascii="Times New Roman" w:hAnsi="Times New Roman" w:eastAsia="宋体" w:cs="Times New Roman"/>
                <w:color w:val="000000"/>
                <w:sz w:val="24"/>
                <w:highlight w:val="none"/>
              </w:rPr>
              <w:t>该处地理位置优越，交通便利</w:t>
            </w:r>
            <w:r>
              <w:rPr>
                <w:rFonts w:hint="eastAsia" w:cs="Times New Roman"/>
                <w:color w:val="000000"/>
                <w:sz w:val="24"/>
                <w:highlight w:val="none"/>
                <w:lang w:eastAsia="zh-CN"/>
              </w:rPr>
              <w:t>；</w:t>
            </w:r>
            <w:r>
              <w:rPr>
                <w:rFonts w:hint="default" w:ascii="Times New Roman" w:hAnsi="Times New Roman" w:cs="Times New Roman"/>
                <w:sz w:val="24"/>
                <w:szCs w:val="24"/>
                <w:lang w:eastAsia="zh-CN"/>
              </w:rPr>
              <w:t>项目地理位置图见</w:t>
            </w:r>
            <w:r>
              <w:rPr>
                <w:rFonts w:hint="default" w:ascii="Times New Roman" w:hAnsi="Times New Roman" w:cs="Times New Roman"/>
                <w:sz w:val="24"/>
                <w:lang w:eastAsia="zh-CN"/>
              </w:rPr>
              <w:t>图</w:t>
            </w:r>
            <w:r>
              <w:rPr>
                <w:rFonts w:hint="default" w:ascii="Times New Roman" w:hAnsi="Times New Roman" w:cs="Times New Roman"/>
                <w:sz w:val="24"/>
                <w:szCs w:val="24"/>
                <w:lang w:eastAsia="zh-CN"/>
              </w:rPr>
              <w:t>1，项目周边关系图见图2。</w:t>
            </w:r>
          </w:p>
          <w:p>
            <w:pPr>
              <w:pStyle w:val="18"/>
              <w:ind w:left="0" w:leftChars="0" w:firstLine="0" w:firstLineChars="0"/>
              <w:jc w:val="center"/>
              <w:rPr>
                <w:rFonts w:hint="default"/>
                <w:lang w:eastAsia="zh-CN"/>
              </w:rPr>
            </w:pPr>
            <w:r>
              <w:drawing>
                <wp:inline distT="0" distB="0" distL="0" distR="0">
                  <wp:extent cx="5240020" cy="3461385"/>
                  <wp:effectExtent l="9525" t="9525" r="27305" b="15240"/>
                  <wp:docPr id="1026" name="图片 15"/>
                  <wp:cNvGraphicFramePr/>
                  <a:graphic xmlns:a="http://schemas.openxmlformats.org/drawingml/2006/main">
                    <a:graphicData uri="http://schemas.openxmlformats.org/drawingml/2006/picture">
                      <pic:pic xmlns:pic="http://schemas.openxmlformats.org/drawingml/2006/picture">
                        <pic:nvPicPr>
                          <pic:cNvPr id="1026" name="图片 15"/>
                          <pic:cNvPicPr/>
                        </pic:nvPicPr>
                        <pic:blipFill>
                          <a:blip r:embed="rId8" cstate="print"/>
                          <a:srcRect l="687" t="945" r="442" b="909"/>
                          <a:stretch>
                            <a:fillRect/>
                          </a:stretch>
                        </pic:blipFill>
                        <pic:spPr>
                          <a:xfrm>
                            <a:off x="0" y="0"/>
                            <a:ext cx="5240020" cy="3461385"/>
                          </a:xfrm>
                          <a:prstGeom prst="rect">
                            <a:avLst/>
                          </a:prstGeom>
                          <a:ln w="9525" cap="flat" cmpd="sng">
                            <a:solidFill>
                              <a:srgbClr val="000000"/>
                            </a:solidFill>
                            <a:prstDash val="solid"/>
                            <a:round/>
                          </a:ln>
                        </pic:spPr>
                      </pic:pic>
                    </a:graphicData>
                  </a:graphic>
                </wp:inline>
              </w:drawing>
            </w:r>
          </w:p>
          <w:p>
            <w:pPr>
              <w:pStyle w:val="18"/>
              <w:ind w:left="0" w:leftChars="0" w:firstLine="0" w:firstLineChars="0"/>
              <w:jc w:val="center"/>
              <w:rPr>
                <w:rFonts w:hint="default"/>
                <w:lang w:eastAsia="zh-CN"/>
              </w:rPr>
            </w:pPr>
            <w:r>
              <w:rPr>
                <w:rFonts w:hint="eastAsia" w:cs="宋体"/>
                <w:b/>
                <w:bCs/>
                <w:color w:val="auto"/>
                <w:sz w:val="24"/>
                <w:szCs w:val="24"/>
                <w:highlight w:val="none"/>
                <w:vertAlign w:val="baseline"/>
                <w:lang w:val="en-US" w:eastAsia="zh-CN"/>
              </w:rPr>
              <w:t>图1  项目地理位置图</w:t>
            </w:r>
          </w:p>
          <w:p>
            <w:pPr>
              <w:pStyle w:val="18"/>
              <w:ind w:left="0" w:leftChars="0" w:firstLine="0" w:firstLineChars="0"/>
              <w:jc w:val="center"/>
            </w:pPr>
            <w:r>
              <w:drawing>
                <wp:inline distT="0" distB="0" distL="0" distR="0">
                  <wp:extent cx="5356225" cy="3191510"/>
                  <wp:effectExtent l="9525" t="9525" r="25400" b="18415"/>
                  <wp:docPr id="1027" name="图片 14"/>
                  <wp:cNvGraphicFramePr/>
                  <a:graphic xmlns:a="http://schemas.openxmlformats.org/drawingml/2006/main">
                    <a:graphicData uri="http://schemas.openxmlformats.org/drawingml/2006/picture">
                      <pic:pic xmlns:pic="http://schemas.openxmlformats.org/drawingml/2006/picture">
                        <pic:nvPicPr>
                          <pic:cNvPr id="1027" name="图片 14"/>
                          <pic:cNvPicPr/>
                        </pic:nvPicPr>
                        <pic:blipFill>
                          <a:blip r:embed="rId9" cstate="print"/>
                          <a:srcRect/>
                          <a:stretch>
                            <a:fillRect/>
                          </a:stretch>
                        </pic:blipFill>
                        <pic:spPr>
                          <a:xfrm>
                            <a:off x="0" y="0"/>
                            <a:ext cx="5356225" cy="3191510"/>
                          </a:xfrm>
                          <a:prstGeom prst="rect">
                            <a:avLst/>
                          </a:prstGeom>
                          <a:ln w="9525" cap="flat" cmpd="sng">
                            <a:solidFill>
                              <a:srgbClr val="000000"/>
                            </a:solidFill>
                            <a:prstDash val="solid"/>
                            <a:round/>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jc w:val="center"/>
              <w:textAlignment w:val="auto"/>
              <w:outlineLvl w:val="9"/>
              <w:rPr>
                <w:rFonts w:hint="eastAsia" w:cs="宋体"/>
                <w:b/>
                <w:bCs/>
                <w:color w:val="auto"/>
                <w:sz w:val="24"/>
                <w:szCs w:val="24"/>
                <w:highlight w:val="none"/>
                <w:vertAlign w:val="baseline"/>
                <w:lang w:val="en-US" w:eastAsia="zh-CN"/>
              </w:rPr>
            </w:pPr>
            <w:r>
              <w:rPr>
                <w:rFonts w:hint="eastAsia" w:cs="宋体"/>
                <w:b/>
                <w:bCs/>
                <w:color w:val="auto"/>
                <w:sz w:val="24"/>
                <w:szCs w:val="24"/>
                <w:highlight w:val="none"/>
                <w:vertAlign w:val="baseline"/>
                <w:lang w:val="en-US" w:eastAsia="zh-CN"/>
              </w:rPr>
              <w:t>图2  项目周边关系图</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jc w:val="both"/>
              <w:textAlignment w:val="auto"/>
              <w:outlineLvl w:val="9"/>
              <w:rPr>
                <w:rFonts w:hint="eastAsia" w:cs="宋体"/>
                <w:b/>
                <w:bCs/>
                <w:color w:val="auto"/>
                <w:sz w:val="24"/>
                <w:szCs w:val="24"/>
                <w:highlight w:val="none"/>
                <w:vertAlign w:val="baseline"/>
                <w:lang w:val="en-US" w:eastAsia="zh-CN"/>
              </w:rPr>
            </w:pPr>
            <w:r>
              <w:rPr>
                <w:rFonts w:hint="eastAsia" w:cs="宋体"/>
                <w:b/>
                <w:bCs/>
                <w:color w:val="auto"/>
                <w:sz w:val="24"/>
                <w:szCs w:val="24"/>
                <w:highlight w:val="none"/>
                <w:vertAlign w:val="baseline"/>
                <w:lang w:val="en-US" w:eastAsia="zh-CN"/>
              </w:rPr>
              <w:t>3.1.2项目总平面布置</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both"/>
              <w:textAlignment w:val="auto"/>
              <w:outlineLvl w:val="9"/>
              <w:rPr>
                <w:rFonts w:hint="eastAsia" w:cs="宋体"/>
                <w:b w:val="0"/>
                <w:bCs w:val="0"/>
                <w:color w:val="auto"/>
                <w:sz w:val="24"/>
                <w:szCs w:val="24"/>
                <w:highlight w:val="none"/>
                <w:vertAlign w:val="baseline"/>
                <w:lang w:val="en-US" w:eastAsia="zh-CN"/>
              </w:rPr>
            </w:pPr>
            <w:r>
              <w:rPr>
                <w:rFonts w:hint="eastAsia" w:cs="宋体"/>
                <w:b w:val="0"/>
                <w:bCs w:val="0"/>
                <w:color w:val="auto"/>
                <w:sz w:val="24"/>
                <w:szCs w:val="24"/>
                <w:highlight w:val="none"/>
                <w:vertAlign w:val="baseline"/>
                <w:lang w:val="en-US" w:eastAsia="zh-CN"/>
              </w:rPr>
              <w:t>本项目大门位于厂区南侧，厂区目前有3座生产车间，自东向西依次为1#车间、2#车间、3#车间，其中办公室位于2#车间内，危废间位于车间2#车间1F西北侧；项目厂区总平面布置见图3。</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jc w:val="center"/>
              <w:textAlignment w:val="auto"/>
              <w:outlineLvl w:val="9"/>
            </w:pPr>
            <w:r>
              <w:drawing>
                <wp:inline distT="0" distB="0" distL="0" distR="0">
                  <wp:extent cx="5140325" cy="2762250"/>
                  <wp:effectExtent l="0" t="0" r="3175" b="0"/>
                  <wp:docPr id="1028" name="图片 18"/>
                  <wp:cNvGraphicFramePr/>
                  <a:graphic xmlns:a="http://schemas.openxmlformats.org/drawingml/2006/main">
                    <a:graphicData uri="http://schemas.openxmlformats.org/drawingml/2006/picture">
                      <pic:pic xmlns:pic="http://schemas.openxmlformats.org/drawingml/2006/picture">
                        <pic:nvPicPr>
                          <pic:cNvPr id="1028" name="图片 18"/>
                          <pic:cNvPicPr/>
                        </pic:nvPicPr>
                        <pic:blipFill>
                          <a:blip r:embed="rId10" cstate="print"/>
                          <a:srcRect/>
                          <a:stretch>
                            <a:fillRect/>
                          </a:stretch>
                        </pic:blipFill>
                        <pic:spPr>
                          <a:xfrm>
                            <a:off x="0" y="0"/>
                            <a:ext cx="5140325" cy="2762250"/>
                          </a:xfrm>
                          <a:prstGeom prst="rect">
                            <a:avLst/>
                          </a:prstGeom>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jc w:val="center"/>
              <w:textAlignment w:val="auto"/>
              <w:outlineLvl w:val="9"/>
              <w:rPr>
                <w:rFonts w:hint="default"/>
                <w:lang w:val="en-US" w:eastAsia="zh-CN"/>
              </w:rPr>
            </w:pPr>
            <w:r>
              <w:rPr>
                <w:rFonts w:hint="default"/>
                <w:b/>
                <w:bCs/>
                <w:lang w:val="en-US" w:eastAsia="zh-CN"/>
              </w:rPr>
              <w:t>图3  厂区总平面布置图（比例尺：1:2500）</w:t>
            </w:r>
          </w:p>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3.2 建设内容</w:t>
            </w:r>
          </w:p>
          <w:p>
            <w:pPr>
              <w:pStyle w:val="18"/>
              <w:spacing w:after="0" w:line="360" w:lineRule="auto"/>
              <w:ind w:left="0" w:leftChars="0" w:firstLine="480"/>
              <w:jc w:val="left"/>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项目投资</w:t>
            </w:r>
            <w:r>
              <w:rPr>
                <w:rFonts w:hint="eastAsia" w:cs="Times New Roman"/>
                <w:color w:val="auto"/>
                <w:sz w:val="24"/>
                <w:szCs w:val="24"/>
                <w:lang w:val="en-US" w:eastAsia="zh-CN"/>
              </w:rPr>
              <w:t>5200</w:t>
            </w:r>
            <w:r>
              <w:rPr>
                <w:rFonts w:hint="default" w:ascii="Times New Roman" w:hAnsi="Times New Roman" w:cs="Times New Roman"/>
                <w:color w:val="auto"/>
                <w:sz w:val="24"/>
                <w:szCs w:val="24"/>
                <w:lang w:val="en-US" w:eastAsia="zh-CN"/>
              </w:rPr>
              <w:t>万元</w:t>
            </w:r>
            <w:r>
              <w:rPr>
                <w:rFonts w:hint="default" w:ascii="Times New Roman" w:hAnsi="Times New Roman" w:cs="Times New Roman"/>
                <w:color w:val="auto"/>
                <w:sz w:val="24"/>
                <w:szCs w:val="24"/>
                <w:lang w:eastAsia="zh-CN"/>
              </w:rPr>
              <w:t>，</w:t>
            </w:r>
            <w:r>
              <w:rPr>
                <w:rFonts w:hint="default" w:ascii="Times New Roman" w:hAnsi="Times New Roman" w:cs="Times New Roman"/>
                <w:bCs/>
                <w:color w:val="auto"/>
                <w:sz w:val="24"/>
                <w:szCs w:val="24"/>
                <w:lang w:eastAsia="zh-CN"/>
              </w:rPr>
              <w:t>建设性质为</w:t>
            </w:r>
            <w:r>
              <w:rPr>
                <w:rFonts w:hint="eastAsia" w:cs="Times New Roman"/>
                <w:bCs/>
                <w:color w:val="auto"/>
                <w:sz w:val="24"/>
                <w:szCs w:val="24"/>
                <w:lang w:val="en-US" w:eastAsia="zh-CN"/>
              </w:rPr>
              <w:t>扩</w:t>
            </w:r>
            <w:r>
              <w:rPr>
                <w:rFonts w:hint="default" w:ascii="Times New Roman" w:hAnsi="Times New Roman" w:cs="Times New Roman"/>
                <w:bCs/>
                <w:color w:val="auto"/>
                <w:sz w:val="24"/>
                <w:szCs w:val="24"/>
                <w:lang w:val="en-US" w:eastAsia="zh-CN"/>
              </w:rPr>
              <w:t>建</w:t>
            </w:r>
            <w:r>
              <w:rPr>
                <w:rFonts w:hint="default" w:ascii="Times New Roman" w:hAnsi="Times New Roman" w:cs="Times New Roman"/>
                <w:color w:val="auto"/>
                <w:sz w:val="24"/>
                <w:szCs w:val="24"/>
                <w:lang w:eastAsia="zh-CN"/>
              </w:rPr>
              <w:t>，建设规模为：</w:t>
            </w:r>
            <w:r>
              <w:rPr>
                <w:rFonts w:hint="default" w:ascii="Times New Roman" w:hAnsi="Times New Roman" w:cs="Times New Roman"/>
                <w:color w:val="auto"/>
                <w:sz w:val="24"/>
              </w:rPr>
              <w:t>利用现有已建车间进行建设，在现有2#车间1F部分区域进行改造，新增一条预灌封注射器生产线、一条预充管生产线、一条西林瓶生产线；购置配套的注塑机、吹瓶机、空压机等国产设备或国外先进设备，水电等公用工程依托现有，项目建成后实现年产预灌封注射器1980万支、预充管6720万支、西林瓶1900万只的生产能力</w:t>
            </w:r>
            <w:r>
              <w:rPr>
                <w:rFonts w:hint="default" w:ascii="Times New Roman" w:hAnsi="Times New Roman" w:eastAsia="宋体" w:cs="Times New Roman"/>
                <w:sz w:val="24"/>
                <w:highlight w:val="none"/>
              </w:rPr>
              <w:t>。</w:t>
            </w:r>
            <w:r>
              <w:rPr>
                <w:rFonts w:hint="default" w:ascii="Times New Roman" w:hAnsi="Times New Roman" w:eastAsia="宋体" w:cs="Times New Roman"/>
                <w:color w:val="auto"/>
                <w:sz w:val="24"/>
                <w:lang w:eastAsia="zh-CN"/>
              </w:rPr>
              <w:t>项目工程建设内容对比一览表见表</w:t>
            </w:r>
            <w:r>
              <w:rPr>
                <w:rFonts w:hint="eastAsia" w:cs="Times New Roman"/>
                <w:color w:val="auto"/>
                <w:sz w:val="24"/>
                <w:lang w:val="en-US" w:eastAsia="zh-CN"/>
              </w:rPr>
              <w:t>3-</w:t>
            </w:r>
            <w:r>
              <w:rPr>
                <w:rFonts w:hint="default" w:ascii="Times New Roman" w:hAnsi="Times New Roman" w:eastAsia="宋体" w:cs="Times New Roman"/>
                <w:color w:val="auto"/>
                <w:sz w:val="24"/>
                <w:lang w:eastAsia="zh-CN"/>
              </w:rPr>
              <w:t>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表</w:t>
            </w:r>
            <w:r>
              <w:rPr>
                <w:rFonts w:hint="eastAsia" w:cs="Times New Roman"/>
                <w:b/>
                <w:bCs/>
                <w:color w:val="auto"/>
                <w:sz w:val="24"/>
                <w:szCs w:val="24"/>
                <w:lang w:val="en-US" w:eastAsia="zh-CN"/>
              </w:rPr>
              <w:t>3-</w:t>
            </w:r>
            <w:r>
              <w:rPr>
                <w:rFonts w:hint="default" w:ascii="Times New Roman" w:hAnsi="Times New Roman" w:cs="Times New Roman"/>
                <w:b/>
                <w:bCs/>
                <w:color w:val="auto"/>
                <w:sz w:val="24"/>
                <w:szCs w:val="24"/>
                <w:lang w:eastAsia="zh-CN"/>
              </w:rPr>
              <w:t>1  环评及批复阶段建设内容与实际建设内容一览表</w:t>
            </w:r>
          </w:p>
          <w:tbl>
            <w:tblPr>
              <w:tblStyle w:val="20"/>
              <w:tblW w:w="86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163"/>
              <w:gridCol w:w="2902"/>
              <w:gridCol w:w="2903"/>
              <w:gridCol w:w="10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387" w:type="pct"/>
                  <w:tcBorders>
                    <w:tl2br w:val="nil"/>
                    <w:tr2bl w:val="nil"/>
                  </w:tcBorders>
                  <w:vAlign w:val="center"/>
                </w:tcPr>
                <w:p>
                  <w:pPr>
                    <w:jc w:val="center"/>
                    <w:rPr>
                      <w:rFonts w:hint="default" w:ascii="Times New Roman" w:hAnsi="Times New Roman" w:eastAsia="宋体" w:cs="Times New Roman"/>
                      <w:b/>
                      <w:bCs/>
                      <w:sz w:val="21"/>
                      <w:szCs w:val="21"/>
                      <w:highlight w:val="none"/>
                      <w:vertAlign w:val="baseline"/>
                      <w:lang w:val="en-US" w:eastAsia="zh-CN"/>
                    </w:rPr>
                  </w:pPr>
                  <w:r>
                    <w:rPr>
                      <w:rFonts w:hint="eastAsia" w:ascii="Times New Roman" w:hAnsi="Times New Roman" w:eastAsia="宋体" w:cs="Times New Roman"/>
                      <w:b/>
                      <w:bCs/>
                      <w:sz w:val="21"/>
                      <w:szCs w:val="21"/>
                      <w:highlight w:val="none"/>
                      <w:vertAlign w:val="baseline"/>
                      <w:lang w:val="en-US" w:eastAsia="zh-CN"/>
                    </w:rPr>
                    <w:t>工程名称</w:t>
                  </w:r>
                </w:p>
              </w:tc>
              <w:tc>
                <w:tcPr>
                  <w:tcW w:w="670" w:type="pct"/>
                  <w:tcBorders>
                    <w:tl2br w:val="nil"/>
                    <w:tr2bl w:val="nil"/>
                  </w:tcBorders>
                  <w:vAlign w:val="center"/>
                </w:tcPr>
                <w:p>
                  <w:pPr>
                    <w:jc w:val="center"/>
                    <w:rPr>
                      <w:rFonts w:hint="default" w:ascii="Times New Roman" w:hAnsi="Times New Roman" w:eastAsia="宋体" w:cs="Times New Roman"/>
                      <w:b/>
                      <w:bCs/>
                      <w:sz w:val="21"/>
                      <w:szCs w:val="21"/>
                      <w:highlight w:val="none"/>
                      <w:vertAlign w:val="baseline"/>
                      <w:lang w:val="en-US" w:eastAsia="zh-CN"/>
                    </w:rPr>
                  </w:pPr>
                  <w:r>
                    <w:rPr>
                      <w:rFonts w:hint="eastAsia" w:ascii="Times New Roman" w:hAnsi="Times New Roman" w:eastAsia="宋体" w:cs="Times New Roman"/>
                      <w:b/>
                      <w:bCs/>
                      <w:sz w:val="21"/>
                      <w:szCs w:val="21"/>
                      <w:highlight w:val="none"/>
                      <w:vertAlign w:val="baseline"/>
                      <w:lang w:val="en-US" w:eastAsia="zh-CN"/>
                    </w:rPr>
                    <w:t>建设名称</w:t>
                  </w:r>
                </w:p>
              </w:tc>
              <w:tc>
                <w:tcPr>
                  <w:tcW w:w="1672" w:type="pct"/>
                  <w:tcBorders>
                    <w:tl2br w:val="nil"/>
                    <w:tr2bl w:val="nil"/>
                  </w:tcBorders>
                  <w:vAlign w:val="center"/>
                </w:tcPr>
                <w:p>
                  <w:pPr>
                    <w:jc w:val="center"/>
                    <w:rPr>
                      <w:rFonts w:hint="default" w:ascii="Times New Roman" w:hAnsi="Times New Roman" w:eastAsia="宋体" w:cs="Times New Roman"/>
                      <w:b/>
                      <w:bCs/>
                      <w:sz w:val="21"/>
                      <w:szCs w:val="21"/>
                      <w:highlight w:val="none"/>
                      <w:vertAlign w:val="baseline"/>
                      <w:lang w:val="en-US" w:eastAsia="zh-CN"/>
                    </w:rPr>
                  </w:pPr>
                  <w:r>
                    <w:rPr>
                      <w:rFonts w:hint="eastAsia" w:ascii="Times New Roman" w:hAnsi="Times New Roman" w:eastAsia="宋体" w:cs="Times New Roman"/>
                      <w:b/>
                      <w:bCs/>
                      <w:sz w:val="21"/>
                      <w:szCs w:val="21"/>
                      <w:highlight w:val="none"/>
                      <w:vertAlign w:val="baseline"/>
                      <w:lang w:val="en-US" w:eastAsia="zh-CN"/>
                    </w:rPr>
                    <w:t>环评建设内容</w:t>
                  </w:r>
                </w:p>
              </w:tc>
              <w:tc>
                <w:tcPr>
                  <w:tcW w:w="1673" w:type="pct"/>
                  <w:tcBorders>
                    <w:tl2br w:val="nil"/>
                    <w:tr2bl w:val="nil"/>
                  </w:tcBorders>
                  <w:vAlign w:val="center"/>
                </w:tcPr>
                <w:p>
                  <w:pPr>
                    <w:jc w:val="center"/>
                    <w:rPr>
                      <w:rFonts w:hint="default" w:ascii="Times New Roman" w:hAnsi="Times New Roman" w:eastAsia="宋体" w:cs="Times New Roman"/>
                      <w:b/>
                      <w:bCs/>
                      <w:sz w:val="21"/>
                      <w:szCs w:val="21"/>
                      <w:highlight w:val="none"/>
                      <w:vertAlign w:val="baseline"/>
                      <w:lang w:val="en-US" w:eastAsia="zh-CN"/>
                    </w:rPr>
                  </w:pPr>
                  <w:r>
                    <w:rPr>
                      <w:rFonts w:hint="eastAsia" w:ascii="Times New Roman" w:hAnsi="Times New Roman" w:eastAsia="宋体" w:cs="Times New Roman"/>
                      <w:b/>
                      <w:bCs/>
                      <w:sz w:val="21"/>
                      <w:szCs w:val="21"/>
                      <w:highlight w:val="none"/>
                      <w:vertAlign w:val="baseline"/>
                      <w:lang w:val="en-US" w:eastAsia="zh-CN"/>
                    </w:rPr>
                    <w:t>实际建设内容要求</w:t>
                  </w:r>
                </w:p>
              </w:tc>
              <w:tc>
                <w:tcPr>
                  <w:tcW w:w="596" w:type="pct"/>
                  <w:tcBorders>
                    <w:tl2br w:val="nil"/>
                    <w:tr2bl w:val="nil"/>
                  </w:tcBorders>
                  <w:vAlign w:val="center"/>
                </w:tcPr>
                <w:p>
                  <w:pPr>
                    <w:jc w:val="center"/>
                    <w:rPr>
                      <w:rFonts w:hint="default" w:ascii="Times New Roman" w:hAnsi="Times New Roman" w:eastAsia="宋体" w:cs="Times New Roman"/>
                      <w:b/>
                      <w:bCs/>
                      <w:sz w:val="21"/>
                      <w:szCs w:val="21"/>
                      <w:highlight w:val="none"/>
                      <w:vertAlign w:val="baseline"/>
                      <w:lang w:val="en-US" w:eastAsia="zh-CN"/>
                    </w:rPr>
                  </w:pPr>
                  <w:r>
                    <w:rPr>
                      <w:rFonts w:hint="eastAsia" w:ascii="Times New Roman" w:hAnsi="Times New Roman" w:eastAsia="宋体" w:cs="Times New Roman"/>
                      <w:b/>
                      <w:bCs/>
                      <w:sz w:val="21"/>
                      <w:szCs w:val="21"/>
                      <w:highlight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87" w:type="pct"/>
                  <w:tcBorders>
                    <w:tl2br w:val="nil"/>
                    <w:tr2bl w:val="nil"/>
                  </w:tcBorders>
                  <w:vAlign w:val="center"/>
                </w:tcPr>
                <w:p>
                  <w:pPr>
                    <w:jc w:val="center"/>
                    <w:rPr>
                      <w:rFonts w:ascii="Times New Roman" w:hAnsi="Times New Roman" w:eastAsia="宋体" w:cs="Times New Roman"/>
                      <w:b w:val="0"/>
                      <w:bCs/>
                      <w:kern w:val="0"/>
                      <w:sz w:val="21"/>
                      <w:szCs w:val="21"/>
                      <w:highlight w:val="none"/>
                    </w:rPr>
                  </w:pPr>
                  <w:r>
                    <w:rPr>
                      <w:rFonts w:ascii="Times New Roman" w:hAnsi="Times New Roman" w:eastAsia="宋体" w:cs="Times New Roman"/>
                      <w:b w:val="0"/>
                      <w:bCs/>
                      <w:kern w:val="0"/>
                      <w:sz w:val="21"/>
                      <w:szCs w:val="21"/>
                      <w:highlight w:val="none"/>
                    </w:rPr>
                    <w:t>主体</w:t>
                  </w:r>
                </w:p>
                <w:p>
                  <w:pPr>
                    <w:jc w:val="center"/>
                    <w:rPr>
                      <w:rFonts w:ascii="Times New Roman" w:hAnsi="Times New Roman" w:eastAsia="宋体" w:cs="Times New Roman"/>
                      <w:b w:val="0"/>
                      <w:bCs/>
                      <w:sz w:val="21"/>
                      <w:szCs w:val="21"/>
                      <w:highlight w:val="none"/>
                      <w:vertAlign w:val="baseline"/>
                    </w:rPr>
                  </w:pPr>
                  <w:r>
                    <w:rPr>
                      <w:rFonts w:ascii="Times New Roman" w:hAnsi="Times New Roman" w:eastAsia="宋体" w:cs="Times New Roman"/>
                      <w:b w:val="0"/>
                      <w:bCs/>
                      <w:kern w:val="0"/>
                      <w:sz w:val="21"/>
                      <w:szCs w:val="21"/>
                      <w:highlight w:val="none"/>
                    </w:rPr>
                    <w:t>工程</w:t>
                  </w:r>
                </w:p>
              </w:tc>
              <w:tc>
                <w:tcPr>
                  <w:tcW w:w="670"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highlight w:val="none"/>
                      <w:lang w:val="en-US" w:eastAsia="zh-CN"/>
                    </w:rPr>
                  </w:pPr>
                  <w:r>
                    <w:rPr>
                      <w:rFonts w:hint="eastAsia" w:ascii="Times New Roman" w:hAnsi="Times New Roman" w:eastAsia="宋体" w:cs="Times New Roman"/>
                      <w:b w:val="0"/>
                      <w:bCs w:val="0"/>
                      <w:kern w:val="0"/>
                      <w:sz w:val="21"/>
                      <w:szCs w:val="21"/>
                      <w:highlight w:val="none"/>
                      <w:lang w:val="en-US" w:eastAsia="zh-CN"/>
                    </w:rPr>
                    <w:t>2#车间1F</w:t>
                  </w:r>
                </w:p>
              </w:tc>
              <w:tc>
                <w:tcPr>
                  <w:tcW w:w="1672" w:type="pct"/>
                  <w:tcBorders>
                    <w:tl2br w:val="nil"/>
                    <w:tr2bl w:val="nil"/>
                  </w:tcBorders>
                  <w:vAlign w:val="center"/>
                </w:tcPr>
                <w:p>
                  <w:pPr>
                    <w:widowControl/>
                    <w:jc w:val="both"/>
                    <w:rPr>
                      <w:rFonts w:hint="eastAsia" w:ascii="Times New Roman" w:hAnsi="Times New Roman" w:eastAsia="宋体" w:cs="Times New Roman"/>
                      <w:b w:val="0"/>
                      <w:bCs w:val="0"/>
                      <w:kern w:val="0"/>
                      <w:sz w:val="21"/>
                      <w:szCs w:val="21"/>
                      <w:highlight w:val="none"/>
                      <w:lang w:val="en-US" w:eastAsia="zh-CN"/>
                    </w:rPr>
                  </w:pPr>
                  <w:r>
                    <w:rPr>
                      <w:rFonts w:hint="eastAsia" w:ascii="Times New Roman" w:hAnsi="Times New Roman" w:eastAsia="宋体" w:cs="Times New Roman"/>
                      <w:b w:val="0"/>
                      <w:bCs w:val="0"/>
                      <w:kern w:val="0"/>
                      <w:sz w:val="21"/>
                      <w:szCs w:val="21"/>
                      <w:highlight w:val="none"/>
                      <w:lang w:val="en-US" w:eastAsia="zh-CN"/>
                    </w:rPr>
                    <w:t>在2#车间1F部分区域布置注塑机、吹瓶机等生产设备</w:t>
                  </w:r>
                </w:p>
              </w:tc>
              <w:tc>
                <w:tcPr>
                  <w:tcW w:w="1673" w:type="pct"/>
                  <w:tcBorders>
                    <w:tl2br w:val="nil"/>
                    <w:tr2bl w:val="nil"/>
                  </w:tcBorders>
                  <w:vAlign w:val="center"/>
                </w:tcPr>
                <w:p>
                  <w:pPr>
                    <w:widowControl/>
                    <w:jc w:val="both"/>
                    <w:rPr>
                      <w:rFonts w:hint="eastAsia" w:ascii="Times New Roman" w:hAnsi="Times New Roman" w:eastAsia="宋体" w:cs="Times New Roman"/>
                      <w:b w:val="0"/>
                      <w:bCs w:val="0"/>
                      <w:kern w:val="0"/>
                      <w:sz w:val="21"/>
                      <w:szCs w:val="21"/>
                      <w:highlight w:val="none"/>
                      <w:lang w:val="en-US" w:eastAsia="zh-CN"/>
                    </w:rPr>
                  </w:pPr>
                  <w:r>
                    <w:rPr>
                      <w:rFonts w:hint="eastAsia" w:ascii="Times New Roman" w:hAnsi="Times New Roman" w:eastAsia="宋体" w:cs="Times New Roman"/>
                      <w:b w:val="0"/>
                      <w:bCs w:val="0"/>
                      <w:kern w:val="0"/>
                      <w:sz w:val="21"/>
                      <w:szCs w:val="21"/>
                      <w:highlight w:val="none"/>
                      <w:lang w:val="en-US" w:eastAsia="zh-CN"/>
                    </w:rPr>
                    <w:t>在2#车间1F部分区域布置注塑机、吹瓶机等生产设备</w:t>
                  </w:r>
                </w:p>
              </w:tc>
              <w:tc>
                <w:tcPr>
                  <w:tcW w:w="596"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highlight w:val="none"/>
                      <w:lang w:val="en-US" w:eastAsia="zh-CN"/>
                    </w:rPr>
                  </w:pPr>
                  <w:r>
                    <w:rPr>
                      <w:rFonts w:hint="eastAsia" w:cs="Times New Roman"/>
                      <w:b w:val="0"/>
                      <w:bCs w:val="0"/>
                      <w:kern w:val="0"/>
                      <w:sz w:val="21"/>
                      <w:szCs w:val="21"/>
                      <w:highlight w:val="none"/>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87" w:type="pct"/>
                  <w:tcBorders>
                    <w:tl2br w:val="nil"/>
                    <w:tr2bl w:val="nil"/>
                  </w:tcBorders>
                  <w:vAlign w:val="center"/>
                </w:tcPr>
                <w:p>
                  <w:pPr>
                    <w:jc w:val="center"/>
                    <w:rPr>
                      <w:rFonts w:hint="eastAsia" w:ascii="Times New Roman" w:hAnsi="Times New Roman" w:eastAsia="宋体" w:cs="Times New Roman"/>
                      <w:b w:val="0"/>
                      <w:bCs/>
                      <w:kern w:val="0"/>
                      <w:sz w:val="21"/>
                      <w:szCs w:val="21"/>
                      <w:highlight w:val="none"/>
                      <w:lang w:eastAsia="zh-CN"/>
                    </w:rPr>
                  </w:pPr>
                  <w:r>
                    <w:rPr>
                      <w:rFonts w:hint="eastAsia" w:ascii="Times New Roman" w:hAnsi="Times New Roman" w:eastAsia="宋体" w:cs="Times New Roman"/>
                      <w:b w:val="0"/>
                      <w:bCs/>
                      <w:kern w:val="0"/>
                      <w:sz w:val="21"/>
                      <w:szCs w:val="21"/>
                      <w:highlight w:val="none"/>
                      <w:lang w:val="en-US" w:eastAsia="zh-CN"/>
                    </w:rPr>
                    <w:t>辅助工程</w:t>
                  </w:r>
                </w:p>
              </w:tc>
              <w:tc>
                <w:tcPr>
                  <w:tcW w:w="670" w:type="pct"/>
                  <w:tcBorders>
                    <w:tl2br w:val="nil"/>
                    <w:tr2bl w:val="nil"/>
                  </w:tcBorders>
                  <w:vAlign w:val="center"/>
                </w:tcPr>
                <w:p>
                  <w:pPr>
                    <w:widowControl/>
                    <w:jc w:val="center"/>
                    <w:rPr>
                      <w:rFonts w:hint="eastAsia" w:ascii="Times New Roman" w:hAnsi="Times New Roman" w:eastAsia="宋体" w:cs="Times New Roman"/>
                      <w:b w:val="0"/>
                      <w:bCs w:val="0"/>
                      <w:kern w:val="0"/>
                      <w:sz w:val="21"/>
                      <w:szCs w:val="21"/>
                      <w:highlight w:val="none"/>
                      <w:lang w:val="en-US" w:eastAsia="zh-CN"/>
                    </w:rPr>
                  </w:pPr>
                  <w:r>
                    <w:rPr>
                      <w:rFonts w:hint="eastAsia" w:ascii="Times New Roman" w:hAnsi="Times New Roman" w:eastAsia="宋体" w:cs="Times New Roman"/>
                      <w:b w:val="0"/>
                      <w:bCs w:val="0"/>
                      <w:kern w:val="0"/>
                      <w:sz w:val="21"/>
                      <w:szCs w:val="21"/>
                      <w:highlight w:val="none"/>
                      <w:lang w:val="en-US" w:eastAsia="zh-CN"/>
                    </w:rPr>
                    <w:t>升降平台</w:t>
                  </w:r>
                </w:p>
              </w:tc>
              <w:tc>
                <w:tcPr>
                  <w:tcW w:w="1672" w:type="pct"/>
                  <w:tcBorders>
                    <w:tl2br w:val="nil"/>
                    <w:tr2bl w:val="nil"/>
                  </w:tcBorders>
                  <w:vAlign w:val="center"/>
                </w:tcPr>
                <w:p>
                  <w:pPr>
                    <w:widowControl/>
                    <w:jc w:val="both"/>
                    <w:rPr>
                      <w:rFonts w:hint="eastAsia" w:ascii="Times New Roman" w:hAnsi="Times New Roman" w:eastAsia="宋体" w:cs="Times New Roman"/>
                      <w:b w:val="0"/>
                      <w:bCs w:val="0"/>
                      <w:kern w:val="0"/>
                      <w:sz w:val="21"/>
                      <w:szCs w:val="21"/>
                      <w:highlight w:val="none"/>
                      <w:lang w:val="en-US" w:eastAsia="zh-CN"/>
                    </w:rPr>
                  </w:pPr>
                  <w:r>
                    <w:rPr>
                      <w:rFonts w:hint="eastAsia" w:ascii="Times New Roman" w:hAnsi="Times New Roman" w:eastAsia="宋体" w:cs="Times New Roman"/>
                      <w:b w:val="0"/>
                      <w:bCs w:val="0"/>
                      <w:kern w:val="0"/>
                      <w:sz w:val="21"/>
                      <w:szCs w:val="21"/>
                      <w:highlight w:val="none"/>
                      <w:lang w:val="en-US" w:eastAsia="zh-CN"/>
                    </w:rPr>
                    <w:t>1#车间北侧新增1台升降平台，平台型号：SJD4.0-7.5m；2#车间北侧新增1台升降平台，平台型号：SJD4.0-15.5m。</w:t>
                  </w:r>
                </w:p>
              </w:tc>
              <w:tc>
                <w:tcPr>
                  <w:tcW w:w="1673" w:type="pct"/>
                  <w:tcBorders>
                    <w:tl2br w:val="nil"/>
                    <w:tr2bl w:val="nil"/>
                  </w:tcBorders>
                  <w:vAlign w:val="center"/>
                </w:tcPr>
                <w:p>
                  <w:pPr>
                    <w:widowControl/>
                    <w:jc w:val="both"/>
                    <w:rPr>
                      <w:rFonts w:hint="eastAsia" w:ascii="Times New Roman" w:hAnsi="Times New Roman" w:eastAsia="宋体" w:cs="Times New Roman"/>
                      <w:b w:val="0"/>
                      <w:bCs w:val="0"/>
                      <w:kern w:val="0"/>
                      <w:sz w:val="21"/>
                      <w:szCs w:val="21"/>
                      <w:highlight w:val="none"/>
                      <w:lang w:val="en-US" w:eastAsia="zh-CN"/>
                    </w:rPr>
                  </w:pPr>
                  <w:r>
                    <w:rPr>
                      <w:rFonts w:hint="eastAsia" w:ascii="Times New Roman" w:hAnsi="Times New Roman" w:eastAsia="宋体" w:cs="Times New Roman"/>
                      <w:b w:val="0"/>
                      <w:bCs w:val="0"/>
                      <w:kern w:val="0"/>
                      <w:sz w:val="21"/>
                      <w:szCs w:val="21"/>
                      <w:highlight w:val="none"/>
                      <w:lang w:val="en-US" w:eastAsia="zh-CN"/>
                    </w:rPr>
                    <w:t>1#车间北侧新增1台升降平台，平台型号：SJD4.0-7.5m；2#车间北侧新增1台升降平台，平台型号：SJD4.0-15.5m。</w:t>
                  </w:r>
                </w:p>
              </w:tc>
              <w:tc>
                <w:tcPr>
                  <w:tcW w:w="596" w:type="pct"/>
                  <w:tcBorders>
                    <w:tl2br w:val="nil"/>
                    <w:tr2bl w:val="nil"/>
                  </w:tcBorders>
                  <w:vAlign w:val="center"/>
                </w:tcPr>
                <w:p>
                  <w:pPr>
                    <w:widowControl/>
                    <w:jc w:val="center"/>
                    <w:rPr>
                      <w:rFonts w:hint="eastAsia" w:ascii="Times New Roman" w:hAnsi="Times New Roman" w:eastAsia="宋体" w:cs="Times New Roman"/>
                      <w:b w:val="0"/>
                      <w:bCs w:val="0"/>
                      <w:kern w:val="0"/>
                      <w:sz w:val="21"/>
                      <w:szCs w:val="21"/>
                      <w:highlight w:val="none"/>
                      <w:lang w:val="en-US" w:eastAsia="zh-CN"/>
                    </w:rPr>
                  </w:pPr>
                  <w:r>
                    <w:rPr>
                      <w:rFonts w:hint="eastAsia" w:cs="Times New Roman"/>
                      <w:b w:val="0"/>
                      <w:bCs w:val="0"/>
                      <w:kern w:val="0"/>
                      <w:sz w:val="21"/>
                      <w:szCs w:val="21"/>
                      <w:highlight w:val="none"/>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restart"/>
                  <w:tcBorders>
                    <w:tl2br w:val="nil"/>
                    <w:tr2bl w:val="nil"/>
                  </w:tcBorders>
                  <w:vAlign w:val="center"/>
                </w:tcPr>
                <w:p>
                  <w:pPr>
                    <w:jc w:val="center"/>
                    <w:rPr>
                      <w:rFonts w:hint="eastAsia" w:ascii="Times New Roman" w:hAnsi="Times New Roman" w:eastAsia="宋体" w:cs="Times New Roman"/>
                      <w:b w:val="0"/>
                      <w:bCs/>
                      <w:kern w:val="0"/>
                      <w:sz w:val="21"/>
                      <w:szCs w:val="21"/>
                      <w:highlight w:val="none"/>
                      <w:lang w:eastAsia="zh-CN"/>
                    </w:rPr>
                  </w:pPr>
                  <w:r>
                    <w:rPr>
                      <w:rFonts w:hint="eastAsia" w:ascii="Times New Roman" w:hAnsi="Times New Roman" w:eastAsia="宋体" w:cs="Times New Roman"/>
                      <w:b w:val="0"/>
                      <w:bCs/>
                      <w:kern w:val="0"/>
                      <w:sz w:val="21"/>
                      <w:szCs w:val="21"/>
                      <w:highlight w:val="none"/>
                      <w:lang w:eastAsia="zh-CN"/>
                    </w:rPr>
                    <w:t>储运</w:t>
                  </w:r>
                </w:p>
                <w:p>
                  <w:pPr>
                    <w:jc w:val="center"/>
                    <w:rPr>
                      <w:rFonts w:hint="eastAsia" w:ascii="Times New Roman" w:hAnsi="Times New Roman" w:eastAsia="宋体" w:cs="Times New Roman"/>
                      <w:b w:val="0"/>
                      <w:bCs/>
                      <w:kern w:val="0"/>
                      <w:sz w:val="21"/>
                      <w:szCs w:val="21"/>
                      <w:highlight w:val="none"/>
                      <w:lang w:eastAsia="zh-CN"/>
                    </w:rPr>
                  </w:pPr>
                  <w:r>
                    <w:rPr>
                      <w:rFonts w:hint="eastAsia" w:ascii="Times New Roman" w:hAnsi="Times New Roman" w:eastAsia="宋体" w:cs="Times New Roman"/>
                      <w:b w:val="0"/>
                      <w:bCs/>
                      <w:kern w:val="0"/>
                      <w:sz w:val="21"/>
                      <w:szCs w:val="21"/>
                      <w:highlight w:val="none"/>
                      <w:lang w:eastAsia="zh-CN"/>
                    </w:rPr>
                    <w:t>工程</w:t>
                  </w:r>
                </w:p>
              </w:tc>
              <w:tc>
                <w:tcPr>
                  <w:tcW w:w="670"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highlight w:val="none"/>
                      <w:lang w:val="en-US" w:eastAsia="zh-CN"/>
                    </w:rPr>
                  </w:pPr>
                  <w:r>
                    <w:rPr>
                      <w:rFonts w:hint="eastAsia" w:ascii="Times New Roman" w:hAnsi="Times New Roman" w:eastAsia="宋体" w:cs="Times New Roman"/>
                      <w:b w:val="0"/>
                      <w:bCs w:val="0"/>
                      <w:kern w:val="0"/>
                      <w:sz w:val="21"/>
                      <w:szCs w:val="21"/>
                      <w:highlight w:val="none"/>
                      <w:lang w:val="en-US" w:eastAsia="zh-CN"/>
                    </w:rPr>
                    <w:t>5#仓库</w:t>
                  </w:r>
                </w:p>
              </w:tc>
              <w:tc>
                <w:tcPr>
                  <w:tcW w:w="1672"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highlight w:val="none"/>
                      <w:lang w:val="en-US" w:eastAsia="zh-CN"/>
                    </w:rPr>
                  </w:pPr>
                  <w:r>
                    <w:rPr>
                      <w:rFonts w:hint="eastAsia" w:ascii="Times New Roman" w:hAnsi="Times New Roman" w:eastAsia="宋体" w:cs="Times New Roman"/>
                      <w:b w:val="0"/>
                      <w:bCs w:val="0"/>
                      <w:kern w:val="0"/>
                      <w:sz w:val="21"/>
                      <w:szCs w:val="21"/>
                      <w:highlight w:val="none"/>
                      <w:lang w:val="en-US" w:eastAsia="zh-CN"/>
                    </w:rPr>
                    <w:t>位于3#车间北侧，钢结构，面积约12838.68m</w:t>
                  </w:r>
                  <w:r>
                    <w:rPr>
                      <w:rFonts w:hint="eastAsia" w:ascii="Times New Roman" w:hAnsi="Times New Roman" w:eastAsia="宋体" w:cs="Times New Roman"/>
                      <w:b w:val="0"/>
                      <w:bCs w:val="0"/>
                      <w:kern w:val="0"/>
                      <w:sz w:val="21"/>
                      <w:szCs w:val="21"/>
                      <w:highlight w:val="none"/>
                      <w:vertAlign w:val="superscript"/>
                      <w:lang w:val="en-US" w:eastAsia="zh-CN"/>
                    </w:rPr>
                    <w:t>2</w:t>
                  </w:r>
                  <w:r>
                    <w:rPr>
                      <w:rFonts w:hint="eastAsia" w:cs="Times New Roman"/>
                      <w:b w:val="0"/>
                      <w:bCs w:val="0"/>
                      <w:kern w:val="0"/>
                      <w:sz w:val="21"/>
                      <w:szCs w:val="21"/>
                      <w:highlight w:val="none"/>
                      <w:vertAlign w:val="baseline"/>
                      <w:lang w:val="en-US" w:eastAsia="zh-CN"/>
                    </w:rPr>
                    <w:t>，H=11.2m。</w:t>
                  </w:r>
                </w:p>
              </w:tc>
              <w:tc>
                <w:tcPr>
                  <w:tcW w:w="1673" w:type="pct"/>
                  <w:tcBorders>
                    <w:tl2br w:val="nil"/>
                    <w:tr2bl w:val="nil"/>
                  </w:tcBorders>
                  <w:vAlign w:val="center"/>
                </w:tcPr>
                <w:p>
                  <w:pPr>
                    <w:widowControl/>
                    <w:jc w:val="both"/>
                    <w:rPr>
                      <w:rFonts w:hint="eastAsia" w:ascii="Times New Roman" w:hAnsi="Times New Roman" w:eastAsia="宋体" w:cs="Times New Roman"/>
                      <w:b w:val="0"/>
                      <w:bCs w:val="0"/>
                      <w:kern w:val="0"/>
                      <w:sz w:val="21"/>
                      <w:szCs w:val="21"/>
                      <w:highlight w:val="none"/>
                      <w:lang w:val="en-US" w:eastAsia="zh-CN"/>
                    </w:rPr>
                  </w:pPr>
                  <w:r>
                    <w:rPr>
                      <w:rFonts w:hint="eastAsia" w:ascii="Times New Roman" w:hAnsi="Times New Roman" w:eastAsia="宋体" w:cs="Times New Roman"/>
                      <w:b w:val="0"/>
                      <w:bCs w:val="0"/>
                      <w:kern w:val="0"/>
                      <w:sz w:val="21"/>
                      <w:szCs w:val="21"/>
                      <w:highlight w:val="none"/>
                      <w:lang w:val="en-US" w:eastAsia="zh-CN"/>
                    </w:rPr>
                    <w:t>位于3#车间北侧，钢结构，面积约12838.68m</w:t>
                  </w:r>
                  <w:r>
                    <w:rPr>
                      <w:rFonts w:hint="eastAsia" w:ascii="Times New Roman" w:hAnsi="Times New Roman" w:eastAsia="宋体" w:cs="Times New Roman"/>
                      <w:b w:val="0"/>
                      <w:bCs w:val="0"/>
                      <w:kern w:val="0"/>
                      <w:sz w:val="21"/>
                      <w:szCs w:val="21"/>
                      <w:highlight w:val="none"/>
                      <w:vertAlign w:val="superscript"/>
                      <w:lang w:val="en-US" w:eastAsia="zh-CN"/>
                    </w:rPr>
                    <w:t>2</w:t>
                  </w:r>
                  <w:r>
                    <w:rPr>
                      <w:rFonts w:hint="eastAsia" w:cs="Times New Roman"/>
                      <w:b w:val="0"/>
                      <w:bCs w:val="0"/>
                      <w:kern w:val="0"/>
                      <w:sz w:val="21"/>
                      <w:szCs w:val="21"/>
                      <w:highlight w:val="none"/>
                      <w:vertAlign w:val="baseline"/>
                      <w:lang w:val="en-US" w:eastAsia="zh-CN"/>
                    </w:rPr>
                    <w:t>，H=11.2m。</w:t>
                  </w:r>
                </w:p>
              </w:tc>
              <w:tc>
                <w:tcPr>
                  <w:tcW w:w="596" w:type="pct"/>
                  <w:tcBorders>
                    <w:tl2br w:val="nil"/>
                    <w:tr2bl w:val="nil"/>
                  </w:tcBorders>
                  <w:vAlign w:val="center"/>
                </w:tcPr>
                <w:p>
                  <w:pPr>
                    <w:widowControl/>
                    <w:jc w:val="center"/>
                    <w:rPr>
                      <w:rFonts w:hint="eastAsia" w:ascii="Times New Roman" w:hAnsi="Times New Roman" w:eastAsia="宋体" w:cs="Times New Roman"/>
                      <w:b w:val="0"/>
                      <w:bCs w:val="0"/>
                      <w:kern w:val="0"/>
                      <w:sz w:val="21"/>
                      <w:szCs w:val="21"/>
                      <w:highlight w:val="none"/>
                      <w:lang w:val="en-US" w:eastAsia="zh-CN"/>
                    </w:rPr>
                  </w:pPr>
                  <w:r>
                    <w:rPr>
                      <w:rFonts w:hint="eastAsia" w:cs="Times New Roman"/>
                      <w:b w:val="0"/>
                      <w:bCs w:val="0"/>
                      <w:kern w:val="0"/>
                      <w:sz w:val="21"/>
                      <w:szCs w:val="21"/>
                      <w:highlight w:val="none"/>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tcBorders>
                    <w:tl2br w:val="nil"/>
                    <w:tr2bl w:val="nil"/>
                  </w:tcBorders>
                  <w:vAlign w:val="center"/>
                </w:tcPr>
                <w:p>
                  <w:pPr>
                    <w:jc w:val="center"/>
                    <w:rPr>
                      <w:rFonts w:ascii="Times New Roman" w:hAnsi="Times New Roman" w:eastAsia="宋体" w:cs="Times New Roman"/>
                      <w:b w:val="0"/>
                      <w:bCs/>
                      <w:kern w:val="0"/>
                      <w:sz w:val="21"/>
                      <w:szCs w:val="21"/>
                      <w:highlight w:val="none"/>
                    </w:rPr>
                  </w:pPr>
                </w:p>
              </w:tc>
              <w:tc>
                <w:tcPr>
                  <w:tcW w:w="670" w:type="pct"/>
                  <w:tcBorders>
                    <w:tl2br w:val="nil"/>
                    <w:tr2bl w:val="nil"/>
                  </w:tcBorders>
                  <w:vAlign w:val="center"/>
                </w:tcPr>
                <w:p>
                  <w:pPr>
                    <w:widowControl/>
                    <w:jc w:val="center"/>
                    <w:rPr>
                      <w:rFonts w:hint="default" w:ascii="Times New Roman" w:hAnsi="Times New Roman" w:eastAsia="宋体" w:cs="Times New Roman"/>
                      <w:b w:val="0"/>
                      <w:bCs w:val="0"/>
                      <w:kern w:val="0"/>
                      <w:sz w:val="21"/>
                      <w:szCs w:val="21"/>
                      <w:highlight w:val="none"/>
                      <w:lang w:val="en-US" w:eastAsia="zh-CN"/>
                    </w:rPr>
                  </w:pPr>
                  <w:r>
                    <w:rPr>
                      <w:rFonts w:hint="eastAsia" w:ascii="Times New Roman" w:hAnsi="Times New Roman" w:eastAsia="宋体" w:cs="Times New Roman"/>
                      <w:b w:val="0"/>
                      <w:bCs w:val="0"/>
                      <w:kern w:val="0"/>
                      <w:sz w:val="21"/>
                      <w:szCs w:val="21"/>
                      <w:highlight w:val="none"/>
                      <w:lang w:val="en-US" w:eastAsia="zh-CN"/>
                    </w:rPr>
                    <w:t>运输</w:t>
                  </w:r>
                </w:p>
              </w:tc>
              <w:tc>
                <w:tcPr>
                  <w:tcW w:w="1672" w:type="pct"/>
                  <w:tcBorders>
                    <w:tl2br w:val="nil"/>
                    <w:tr2bl w:val="nil"/>
                  </w:tcBorders>
                  <w:vAlign w:val="center"/>
                </w:tcPr>
                <w:p>
                  <w:pPr>
                    <w:widowControl/>
                    <w:jc w:val="center"/>
                    <w:rPr>
                      <w:rFonts w:hint="eastAsia" w:ascii="Times New Roman" w:hAnsi="Times New Roman" w:eastAsia="宋体" w:cs="Times New Roman"/>
                      <w:b w:val="0"/>
                      <w:bCs w:val="0"/>
                      <w:kern w:val="0"/>
                      <w:sz w:val="21"/>
                      <w:szCs w:val="21"/>
                      <w:highlight w:val="none"/>
                      <w:lang w:val="en-US" w:eastAsia="zh-CN"/>
                    </w:rPr>
                  </w:pPr>
                  <w:r>
                    <w:rPr>
                      <w:rFonts w:hint="eastAsia" w:ascii="Times New Roman" w:hAnsi="Times New Roman" w:eastAsia="宋体" w:cs="Times New Roman"/>
                      <w:b w:val="0"/>
                      <w:bCs w:val="0"/>
                      <w:kern w:val="0"/>
                      <w:sz w:val="21"/>
                      <w:szCs w:val="21"/>
                      <w:highlight w:val="none"/>
                      <w:lang w:val="en-US" w:eastAsia="zh-CN"/>
                    </w:rPr>
                    <w:t>原辅材料和产品采用公路运输。</w:t>
                  </w:r>
                </w:p>
              </w:tc>
              <w:tc>
                <w:tcPr>
                  <w:tcW w:w="1673" w:type="pct"/>
                  <w:tcBorders>
                    <w:tl2br w:val="nil"/>
                    <w:tr2bl w:val="nil"/>
                  </w:tcBorders>
                  <w:vAlign w:val="center"/>
                </w:tcPr>
                <w:p>
                  <w:pPr>
                    <w:widowControl/>
                    <w:jc w:val="center"/>
                    <w:rPr>
                      <w:rFonts w:hint="eastAsia" w:ascii="Times New Roman" w:hAnsi="Times New Roman" w:eastAsia="宋体" w:cs="Times New Roman"/>
                      <w:b w:val="0"/>
                      <w:bCs w:val="0"/>
                      <w:kern w:val="0"/>
                      <w:sz w:val="21"/>
                      <w:szCs w:val="21"/>
                      <w:highlight w:val="none"/>
                      <w:lang w:val="en-US" w:eastAsia="zh-CN"/>
                    </w:rPr>
                  </w:pPr>
                  <w:r>
                    <w:rPr>
                      <w:rFonts w:hint="eastAsia" w:ascii="Times New Roman" w:hAnsi="Times New Roman" w:eastAsia="宋体" w:cs="Times New Roman"/>
                      <w:b w:val="0"/>
                      <w:bCs w:val="0"/>
                      <w:kern w:val="0"/>
                      <w:sz w:val="21"/>
                      <w:szCs w:val="21"/>
                      <w:highlight w:val="none"/>
                      <w:lang w:val="en-US" w:eastAsia="zh-CN"/>
                    </w:rPr>
                    <w:t>原辅材料和产品采用公路运输。</w:t>
                  </w:r>
                </w:p>
              </w:tc>
              <w:tc>
                <w:tcPr>
                  <w:tcW w:w="596" w:type="pct"/>
                  <w:tcBorders>
                    <w:tl2br w:val="nil"/>
                    <w:tr2bl w:val="nil"/>
                  </w:tcBorders>
                  <w:vAlign w:val="center"/>
                </w:tcPr>
                <w:p>
                  <w:pPr>
                    <w:widowControl/>
                    <w:jc w:val="center"/>
                    <w:rPr>
                      <w:rFonts w:hint="eastAsia" w:ascii="Times New Roman" w:hAnsi="Times New Roman" w:eastAsia="宋体" w:cs="Times New Roman"/>
                      <w:b w:val="0"/>
                      <w:bCs w:val="0"/>
                      <w:kern w:val="0"/>
                      <w:sz w:val="21"/>
                      <w:szCs w:val="21"/>
                      <w:highlight w:val="none"/>
                      <w:lang w:val="en-US" w:eastAsia="zh-CN"/>
                    </w:rPr>
                  </w:pPr>
                  <w:r>
                    <w:rPr>
                      <w:rFonts w:hint="eastAsia" w:cs="Times New Roman"/>
                      <w:b w:val="0"/>
                      <w:bCs w:val="0"/>
                      <w:kern w:val="0"/>
                      <w:sz w:val="21"/>
                      <w:szCs w:val="21"/>
                      <w:highlight w:val="none"/>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restart"/>
                  <w:tcBorders>
                    <w:tl2br w:val="nil"/>
                    <w:tr2bl w:val="nil"/>
                  </w:tcBorders>
                  <w:vAlign w:val="center"/>
                </w:tcPr>
                <w:p>
                  <w:pPr>
                    <w:jc w:val="center"/>
                    <w:rPr>
                      <w:rFonts w:hint="eastAsia" w:ascii="Times New Roman" w:hAnsi="Times New Roman" w:eastAsia="宋体" w:cs="Times New Roman"/>
                      <w:b w:val="0"/>
                      <w:bCs/>
                      <w:kern w:val="0"/>
                      <w:sz w:val="21"/>
                      <w:szCs w:val="21"/>
                      <w:highlight w:val="none"/>
                      <w:lang w:eastAsia="zh-CN"/>
                    </w:rPr>
                  </w:pPr>
                  <w:r>
                    <w:rPr>
                      <w:rFonts w:hint="eastAsia" w:ascii="Times New Roman" w:hAnsi="Times New Roman" w:eastAsia="宋体" w:cs="Times New Roman"/>
                      <w:b w:val="0"/>
                      <w:bCs/>
                      <w:kern w:val="0"/>
                      <w:sz w:val="21"/>
                      <w:szCs w:val="21"/>
                      <w:highlight w:val="none"/>
                      <w:lang w:eastAsia="zh-CN"/>
                    </w:rPr>
                    <w:t>公</w:t>
                  </w:r>
                  <w:r>
                    <w:rPr>
                      <w:rFonts w:hint="eastAsia" w:ascii="Times New Roman" w:hAnsi="Times New Roman" w:eastAsia="宋体" w:cs="Times New Roman"/>
                      <w:b w:val="0"/>
                      <w:bCs/>
                      <w:kern w:val="0"/>
                      <w:sz w:val="21"/>
                      <w:szCs w:val="21"/>
                      <w:highlight w:val="none"/>
                      <w:lang w:val="en-US" w:eastAsia="zh-CN"/>
                    </w:rPr>
                    <w:t>用</w:t>
                  </w:r>
                  <w:r>
                    <w:rPr>
                      <w:rFonts w:hint="eastAsia" w:ascii="Times New Roman" w:hAnsi="Times New Roman" w:eastAsia="宋体" w:cs="Times New Roman"/>
                      <w:b w:val="0"/>
                      <w:bCs/>
                      <w:kern w:val="0"/>
                      <w:sz w:val="21"/>
                      <w:szCs w:val="21"/>
                      <w:highlight w:val="none"/>
                      <w:lang w:eastAsia="zh-CN"/>
                    </w:rPr>
                    <w:t>工程</w:t>
                  </w:r>
                </w:p>
              </w:tc>
              <w:tc>
                <w:tcPr>
                  <w:tcW w:w="670" w:type="pct"/>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供水系统</w:t>
                  </w:r>
                </w:p>
              </w:tc>
              <w:tc>
                <w:tcPr>
                  <w:tcW w:w="1672" w:type="pct"/>
                  <w:tcBorders>
                    <w:tl2br w:val="nil"/>
                    <w:tr2bl w:val="nil"/>
                  </w:tcBorders>
                  <w:vAlign w:val="center"/>
                </w:tcPr>
                <w:p>
                  <w:pPr>
                    <w:widowControl/>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 w:val="0"/>
                      <w:bCs w:val="0"/>
                      <w:kern w:val="0"/>
                      <w:sz w:val="21"/>
                      <w:szCs w:val="21"/>
                      <w:highlight w:val="none"/>
                      <w:lang w:val="en-US" w:eastAsia="zh-CN"/>
                    </w:rPr>
                    <w:t>由园区供水管网提供</w:t>
                  </w:r>
                </w:p>
              </w:tc>
              <w:tc>
                <w:tcPr>
                  <w:tcW w:w="1673" w:type="pct"/>
                  <w:tcBorders>
                    <w:tl2br w:val="nil"/>
                    <w:tr2bl w:val="nil"/>
                  </w:tcBorders>
                  <w:vAlign w:val="center"/>
                </w:tcPr>
                <w:p>
                  <w:pPr>
                    <w:widowControl/>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 w:val="0"/>
                      <w:bCs w:val="0"/>
                      <w:kern w:val="0"/>
                      <w:sz w:val="21"/>
                      <w:szCs w:val="21"/>
                      <w:highlight w:val="none"/>
                      <w:lang w:val="en-US" w:eastAsia="zh-CN"/>
                    </w:rPr>
                    <w:t>由园区供水管网提供</w:t>
                  </w:r>
                </w:p>
              </w:tc>
              <w:tc>
                <w:tcPr>
                  <w:tcW w:w="596" w:type="pct"/>
                  <w:tcBorders>
                    <w:tl2br w:val="nil"/>
                    <w:tr2bl w:val="nil"/>
                  </w:tcBorders>
                  <w:vAlign w:val="center"/>
                </w:tcPr>
                <w:p>
                  <w:pPr>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b w:val="0"/>
                      <w:bCs w:val="0"/>
                      <w:kern w:val="0"/>
                      <w:sz w:val="21"/>
                      <w:szCs w:val="21"/>
                      <w:highlight w:val="none"/>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tcBorders>
                    <w:tl2br w:val="nil"/>
                    <w:tr2bl w:val="nil"/>
                  </w:tcBorders>
                  <w:vAlign w:val="center"/>
                </w:tcPr>
                <w:p>
                  <w:pPr>
                    <w:jc w:val="center"/>
                    <w:rPr>
                      <w:rFonts w:ascii="Times New Roman" w:hAnsi="Times New Roman" w:eastAsia="宋体" w:cs="Times New Roman"/>
                      <w:b w:val="0"/>
                      <w:bCs/>
                      <w:kern w:val="0"/>
                      <w:sz w:val="21"/>
                      <w:szCs w:val="21"/>
                      <w:highlight w:val="none"/>
                    </w:rPr>
                  </w:pPr>
                </w:p>
              </w:tc>
              <w:tc>
                <w:tcPr>
                  <w:tcW w:w="6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供电系统</w:t>
                  </w:r>
                </w:p>
              </w:tc>
              <w:tc>
                <w:tcPr>
                  <w:tcW w:w="1672" w:type="pct"/>
                  <w:tcBorders>
                    <w:tl2br w:val="nil"/>
                    <w:tr2bl w:val="nil"/>
                  </w:tcBorders>
                  <w:vAlign w:val="center"/>
                </w:tcPr>
                <w:p>
                  <w:pPr>
                    <w:widowControl/>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bCs w:val="0"/>
                      <w:kern w:val="0"/>
                      <w:sz w:val="21"/>
                      <w:szCs w:val="21"/>
                      <w:highlight w:val="none"/>
                      <w:lang w:val="en-US" w:eastAsia="zh-CN"/>
                    </w:rPr>
                    <w:t>由临淄区供电电网提供</w:t>
                  </w:r>
                </w:p>
              </w:tc>
              <w:tc>
                <w:tcPr>
                  <w:tcW w:w="1673" w:type="pct"/>
                  <w:tcBorders>
                    <w:tl2br w:val="nil"/>
                    <w:tr2bl w:val="nil"/>
                  </w:tcBorders>
                  <w:vAlign w:val="center"/>
                </w:tcPr>
                <w:p>
                  <w:pPr>
                    <w:widowControl/>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bCs w:val="0"/>
                      <w:kern w:val="0"/>
                      <w:sz w:val="21"/>
                      <w:szCs w:val="21"/>
                      <w:highlight w:val="none"/>
                      <w:lang w:val="en-US" w:eastAsia="zh-CN"/>
                    </w:rPr>
                    <w:t>由临淄区供电电网提供</w:t>
                  </w:r>
                </w:p>
              </w:tc>
              <w:tc>
                <w:tcPr>
                  <w:tcW w:w="5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b w:val="0"/>
                      <w:bCs w:val="0"/>
                      <w:kern w:val="0"/>
                      <w:sz w:val="21"/>
                      <w:szCs w:val="21"/>
                      <w:highlight w:val="none"/>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restart"/>
                  <w:tcBorders>
                    <w:tl2br w:val="nil"/>
                    <w:tr2bl w:val="nil"/>
                  </w:tcBorders>
                  <w:vAlign w:val="center"/>
                </w:tcPr>
                <w:p>
                  <w:pPr>
                    <w:jc w:val="center"/>
                    <w:rPr>
                      <w:rFonts w:hint="eastAsia" w:ascii="Times New Roman" w:hAnsi="Times New Roman" w:eastAsia="宋体" w:cs="Times New Roman"/>
                      <w:b w:val="0"/>
                      <w:bCs/>
                      <w:kern w:val="0"/>
                      <w:sz w:val="21"/>
                      <w:szCs w:val="21"/>
                      <w:highlight w:val="none"/>
                      <w:lang w:eastAsia="zh-CN"/>
                    </w:rPr>
                  </w:pPr>
                  <w:r>
                    <w:rPr>
                      <w:rFonts w:hint="eastAsia" w:ascii="Times New Roman" w:hAnsi="Times New Roman" w:eastAsia="宋体" w:cs="Times New Roman"/>
                      <w:b w:val="0"/>
                      <w:bCs/>
                      <w:kern w:val="0"/>
                      <w:sz w:val="21"/>
                      <w:szCs w:val="21"/>
                      <w:highlight w:val="none"/>
                      <w:lang w:eastAsia="zh-CN"/>
                    </w:rPr>
                    <w:t>环保</w:t>
                  </w:r>
                </w:p>
                <w:p>
                  <w:pPr>
                    <w:jc w:val="center"/>
                    <w:rPr>
                      <w:rFonts w:hint="eastAsia" w:ascii="Times New Roman" w:hAnsi="Times New Roman" w:eastAsia="宋体" w:cs="Times New Roman"/>
                      <w:b w:val="0"/>
                      <w:bCs/>
                      <w:kern w:val="0"/>
                      <w:sz w:val="21"/>
                      <w:szCs w:val="21"/>
                      <w:highlight w:val="none"/>
                      <w:lang w:eastAsia="zh-CN"/>
                    </w:rPr>
                  </w:pPr>
                  <w:r>
                    <w:rPr>
                      <w:rFonts w:hint="eastAsia" w:ascii="Times New Roman" w:hAnsi="Times New Roman" w:eastAsia="宋体" w:cs="Times New Roman"/>
                      <w:b w:val="0"/>
                      <w:bCs/>
                      <w:kern w:val="0"/>
                      <w:sz w:val="21"/>
                      <w:szCs w:val="21"/>
                      <w:highlight w:val="none"/>
                      <w:lang w:eastAsia="zh-CN"/>
                    </w:rPr>
                    <w:t>工程</w:t>
                  </w:r>
                </w:p>
              </w:tc>
              <w:tc>
                <w:tcPr>
                  <w:tcW w:w="670" w:type="pct"/>
                  <w:tcBorders>
                    <w:tl2br w:val="nil"/>
                    <w:tr2bl w:val="nil"/>
                  </w:tcBorders>
                  <w:vAlign w:val="center"/>
                </w:tcPr>
                <w:p>
                  <w:pPr>
                    <w:autoSpaceDE w:val="0"/>
                    <w:autoSpaceDN w:val="0"/>
                    <w:spacing w:line="240" w:lineRule="atLeast"/>
                    <w:jc w:val="center"/>
                    <w:rPr>
                      <w:rFonts w:ascii="Times New Roman" w:hAnsi="Times New Roman" w:eastAsia="宋体" w:cs="Times New Roman"/>
                      <w:b/>
                      <w:bCs/>
                      <w:sz w:val="21"/>
                      <w:szCs w:val="21"/>
                      <w:highlight w:val="none"/>
                      <w:vertAlign w:val="baseline"/>
                    </w:rPr>
                  </w:pPr>
                  <w:r>
                    <w:rPr>
                      <w:rFonts w:ascii="Times New Roman" w:hAnsi="Times New Roman" w:eastAsia="宋体" w:cs="Times New Roman"/>
                      <w:kern w:val="0"/>
                      <w:sz w:val="21"/>
                      <w:szCs w:val="21"/>
                      <w:highlight w:val="none"/>
                    </w:rPr>
                    <w:t>废气治理</w:t>
                  </w:r>
                </w:p>
              </w:tc>
              <w:tc>
                <w:tcPr>
                  <w:tcW w:w="1672" w:type="pct"/>
                  <w:tcBorders>
                    <w:tl2br w:val="nil"/>
                    <w:tr2bl w:val="nil"/>
                  </w:tcBorders>
                  <w:vAlign w:val="center"/>
                </w:tcPr>
                <w:p>
                  <w:pPr>
                    <w:autoSpaceDE w:val="0"/>
                    <w:autoSpaceDN w:val="0"/>
                    <w:spacing w:line="240" w:lineRule="atLeast"/>
                    <w:jc w:val="both"/>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VOCs经管道负压收集至现有1#二级活性炭吸附装置处理后通过现有排气筒DA001</w:t>
                  </w:r>
                  <w:r>
                    <w:rPr>
                      <w:rFonts w:hint="eastAsia" w:cs="Times New Roman"/>
                      <w:kern w:val="0"/>
                      <w:sz w:val="21"/>
                      <w:szCs w:val="21"/>
                      <w:highlight w:val="none"/>
                      <w:lang w:eastAsia="zh-CN"/>
                    </w:rPr>
                    <w:t>（</w:t>
                  </w:r>
                  <w:r>
                    <w:rPr>
                      <w:rFonts w:hint="eastAsia" w:cs="Times New Roman"/>
                      <w:kern w:val="0"/>
                      <w:sz w:val="21"/>
                      <w:szCs w:val="21"/>
                      <w:highlight w:val="none"/>
                      <w:lang w:val="en-US" w:eastAsia="zh-CN"/>
                    </w:rPr>
                    <w:t>15m</w:t>
                  </w:r>
                  <w:r>
                    <w:rPr>
                      <w:rFonts w:hint="eastAsia" w:cs="Times New Roman"/>
                      <w:kern w:val="0"/>
                      <w:sz w:val="21"/>
                      <w:szCs w:val="21"/>
                      <w:highlight w:val="none"/>
                      <w:lang w:eastAsia="zh-CN"/>
                    </w:rPr>
                    <w:t>）</w:t>
                  </w:r>
                  <w:r>
                    <w:rPr>
                      <w:rFonts w:hint="eastAsia" w:ascii="Times New Roman" w:hAnsi="Times New Roman" w:eastAsia="宋体" w:cs="Times New Roman"/>
                      <w:kern w:val="0"/>
                      <w:sz w:val="21"/>
                      <w:szCs w:val="21"/>
                      <w:highlight w:val="none"/>
                    </w:rPr>
                    <w:t>排放。</w:t>
                  </w:r>
                </w:p>
              </w:tc>
              <w:tc>
                <w:tcPr>
                  <w:tcW w:w="1673" w:type="pct"/>
                  <w:tcBorders>
                    <w:tl2br w:val="nil"/>
                    <w:tr2bl w:val="nil"/>
                  </w:tcBorders>
                  <w:vAlign w:val="center"/>
                </w:tcPr>
                <w:p>
                  <w:pPr>
                    <w:autoSpaceDE w:val="0"/>
                    <w:autoSpaceDN w:val="0"/>
                    <w:spacing w:line="240" w:lineRule="atLeast"/>
                    <w:jc w:val="both"/>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VOCs经管道负压收集至现有1#二级活性炭吸附装置处理后通过排气筒DA001</w:t>
                  </w:r>
                  <w:r>
                    <w:rPr>
                      <w:rFonts w:hint="eastAsia" w:cs="Times New Roman"/>
                      <w:kern w:val="0"/>
                      <w:sz w:val="21"/>
                      <w:szCs w:val="21"/>
                      <w:highlight w:val="none"/>
                      <w:lang w:eastAsia="zh-CN"/>
                    </w:rPr>
                    <w:t>（</w:t>
                  </w:r>
                  <w:r>
                    <w:rPr>
                      <w:rFonts w:hint="eastAsia" w:cs="Times New Roman"/>
                      <w:kern w:val="0"/>
                      <w:sz w:val="21"/>
                      <w:szCs w:val="21"/>
                      <w:highlight w:val="none"/>
                      <w:lang w:val="en-US" w:eastAsia="zh-CN"/>
                    </w:rPr>
                    <w:t>25m</w:t>
                  </w:r>
                  <w:r>
                    <w:rPr>
                      <w:rFonts w:hint="eastAsia" w:cs="Times New Roman"/>
                      <w:kern w:val="0"/>
                      <w:sz w:val="21"/>
                      <w:szCs w:val="21"/>
                      <w:highlight w:val="none"/>
                      <w:lang w:eastAsia="zh-CN"/>
                    </w:rPr>
                    <w:t>）</w:t>
                  </w:r>
                  <w:r>
                    <w:rPr>
                      <w:rFonts w:hint="eastAsia" w:ascii="Times New Roman" w:hAnsi="Times New Roman" w:eastAsia="宋体" w:cs="Times New Roman"/>
                      <w:kern w:val="0"/>
                      <w:sz w:val="21"/>
                      <w:szCs w:val="21"/>
                      <w:highlight w:val="none"/>
                    </w:rPr>
                    <w:t>排放。</w:t>
                  </w:r>
                </w:p>
              </w:tc>
              <w:tc>
                <w:tcPr>
                  <w:tcW w:w="596" w:type="pct"/>
                  <w:tcBorders>
                    <w:tl2br w:val="nil"/>
                    <w:tr2bl w:val="nil"/>
                  </w:tcBorders>
                  <w:vAlign w:val="center"/>
                </w:tcPr>
                <w:p>
                  <w:pPr>
                    <w:autoSpaceDE w:val="0"/>
                    <w:autoSpaceDN w:val="0"/>
                    <w:spacing w:line="240" w:lineRule="atLeast"/>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DA001排气筒实际高度为25m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tcBorders>
                    <w:tl2br w:val="nil"/>
                    <w:tr2bl w:val="nil"/>
                  </w:tcBorders>
                  <w:vAlign w:val="center"/>
                </w:tcPr>
                <w:p>
                  <w:pPr>
                    <w:jc w:val="center"/>
                    <w:rPr>
                      <w:rFonts w:ascii="Times New Roman" w:hAnsi="Times New Roman" w:eastAsia="宋体" w:cs="Times New Roman"/>
                      <w:b/>
                      <w:kern w:val="0"/>
                      <w:sz w:val="21"/>
                      <w:szCs w:val="21"/>
                      <w:highlight w:val="none"/>
                    </w:rPr>
                  </w:pPr>
                </w:p>
              </w:tc>
              <w:tc>
                <w:tcPr>
                  <w:tcW w:w="670" w:type="pct"/>
                  <w:tcBorders>
                    <w:tl2br w:val="nil"/>
                    <w:tr2bl w:val="nil"/>
                  </w:tcBorders>
                  <w:vAlign w:val="center"/>
                </w:tcPr>
                <w:p>
                  <w:pPr>
                    <w:autoSpaceDE w:val="0"/>
                    <w:autoSpaceDN w:val="0"/>
                    <w:spacing w:line="240" w:lineRule="atLeast"/>
                    <w:jc w:val="center"/>
                    <w:rPr>
                      <w:rFonts w:ascii="Times New Roman" w:hAnsi="Times New Roman" w:eastAsia="宋体" w:cs="Times New Roman"/>
                      <w:b/>
                      <w:bCs/>
                      <w:sz w:val="21"/>
                      <w:szCs w:val="21"/>
                      <w:highlight w:val="none"/>
                      <w:vertAlign w:val="baseline"/>
                    </w:rPr>
                  </w:pPr>
                  <w:r>
                    <w:rPr>
                      <w:rFonts w:ascii="Times New Roman" w:hAnsi="Times New Roman" w:eastAsia="宋体" w:cs="Times New Roman"/>
                      <w:kern w:val="0"/>
                      <w:sz w:val="21"/>
                      <w:szCs w:val="21"/>
                      <w:highlight w:val="none"/>
                    </w:rPr>
                    <w:t>废水治理</w:t>
                  </w:r>
                </w:p>
              </w:tc>
              <w:tc>
                <w:tcPr>
                  <w:tcW w:w="1672" w:type="pct"/>
                  <w:tcBorders>
                    <w:tl2br w:val="nil"/>
                    <w:tr2bl w:val="nil"/>
                  </w:tcBorders>
                  <w:vAlign w:val="center"/>
                </w:tcPr>
                <w:p>
                  <w:pPr>
                    <w:autoSpaceDE w:val="0"/>
                    <w:autoSpaceDN w:val="0"/>
                    <w:spacing w:line="240" w:lineRule="atLeast"/>
                    <w:jc w:val="both"/>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本项目废水主要为生活污水，生活污水经化粪池预处理后经市政污水管网排入齐城污水处理厂进一步处理。</w:t>
                  </w:r>
                </w:p>
              </w:tc>
              <w:tc>
                <w:tcPr>
                  <w:tcW w:w="1673" w:type="pct"/>
                  <w:tcBorders>
                    <w:tl2br w:val="nil"/>
                    <w:tr2bl w:val="nil"/>
                  </w:tcBorders>
                  <w:vAlign w:val="center"/>
                </w:tcPr>
                <w:p>
                  <w:pPr>
                    <w:autoSpaceDE w:val="0"/>
                    <w:autoSpaceDN w:val="0"/>
                    <w:spacing w:line="240" w:lineRule="atLeast"/>
                    <w:jc w:val="both"/>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本项目废水主要为生活污水，生活污水经化粪池预处理后经市政污水管网排入齐城污水处理厂进一步处理。</w:t>
                  </w:r>
                </w:p>
              </w:tc>
              <w:tc>
                <w:tcPr>
                  <w:tcW w:w="596" w:type="pct"/>
                  <w:tcBorders>
                    <w:tl2br w:val="nil"/>
                    <w:tr2bl w:val="nil"/>
                  </w:tcBorders>
                  <w:vAlign w:val="center"/>
                </w:tcPr>
                <w:p>
                  <w:pPr>
                    <w:autoSpaceDE w:val="0"/>
                    <w:autoSpaceDN w:val="0"/>
                    <w:spacing w:line="240" w:lineRule="atLeast"/>
                    <w:jc w:val="center"/>
                    <w:rPr>
                      <w:rFonts w:ascii="Times New Roman" w:hAnsi="Times New Roman" w:eastAsia="宋体" w:cs="Times New Roman"/>
                      <w:kern w:val="0"/>
                      <w:sz w:val="21"/>
                      <w:szCs w:val="21"/>
                      <w:highlight w:val="none"/>
                    </w:rPr>
                  </w:pPr>
                  <w:r>
                    <w:rPr>
                      <w:rFonts w:hint="eastAsia" w:cs="Times New Roman"/>
                      <w:b w:val="0"/>
                      <w:bCs w:val="0"/>
                      <w:kern w:val="0"/>
                      <w:sz w:val="21"/>
                      <w:szCs w:val="21"/>
                      <w:highlight w:val="none"/>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tcBorders>
                    <w:tl2br w:val="nil"/>
                    <w:tr2bl w:val="nil"/>
                  </w:tcBorders>
                  <w:vAlign w:val="center"/>
                </w:tcPr>
                <w:p>
                  <w:pPr>
                    <w:jc w:val="center"/>
                    <w:rPr>
                      <w:rFonts w:ascii="Times New Roman" w:hAnsi="Times New Roman" w:eastAsia="宋体" w:cs="Times New Roman"/>
                      <w:b/>
                      <w:kern w:val="0"/>
                      <w:sz w:val="21"/>
                      <w:szCs w:val="21"/>
                      <w:highlight w:val="none"/>
                    </w:rPr>
                  </w:pPr>
                </w:p>
              </w:tc>
              <w:tc>
                <w:tcPr>
                  <w:tcW w:w="670" w:type="pct"/>
                  <w:tcBorders>
                    <w:tl2br w:val="nil"/>
                    <w:tr2bl w:val="nil"/>
                  </w:tcBorders>
                  <w:vAlign w:val="center"/>
                </w:tcPr>
                <w:p>
                  <w:pPr>
                    <w:autoSpaceDE w:val="0"/>
                    <w:autoSpaceDN w:val="0"/>
                    <w:spacing w:line="240" w:lineRule="atLeast"/>
                    <w:jc w:val="center"/>
                    <w:rPr>
                      <w:rFonts w:ascii="Times New Roman" w:hAnsi="Times New Roman" w:eastAsia="宋体" w:cs="Times New Roman"/>
                      <w:b/>
                      <w:bCs/>
                      <w:sz w:val="21"/>
                      <w:szCs w:val="21"/>
                      <w:highlight w:val="none"/>
                      <w:vertAlign w:val="baseline"/>
                    </w:rPr>
                  </w:pPr>
                  <w:r>
                    <w:rPr>
                      <w:rFonts w:ascii="Times New Roman" w:hAnsi="Times New Roman" w:eastAsia="宋体" w:cs="Times New Roman"/>
                      <w:kern w:val="0"/>
                      <w:sz w:val="21"/>
                      <w:szCs w:val="21"/>
                      <w:highlight w:val="none"/>
                    </w:rPr>
                    <w:t>固废治理</w:t>
                  </w:r>
                </w:p>
              </w:tc>
              <w:tc>
                <w:tcPr>
                  <w:tcW w:w="1672" w:type="pct"/>
                  <w:tcBorders>
                    <w:tl2br w:val="nil"/>
                    <w:tr2bl w:val="nil"/>
                  </w:tcBorders>
                  <w:vAlign w:val="center"/>
                </w:tcPr>
                <w:p>
                  <w:pPr>
                    <w:autoSpaceDE w:val="0"/>
                    <w:autoSpaceDN w:val="0"/>
                    <w:spacing w:line="240" w:lineRule="atLeast"/>
                    <w:jc w:val="both"/>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生活垃圾经收集后由环卫部门定期清运；废塑料、废包装统一收集后外售；废机油、废机油桶、废活性炭等在危废间暂存后定期委托有资质单位处置</w:t>
                  </w:r>
                  <w:r>
                    <w:rPr>
                      <w:rFonts w:hint="eastAsia" w:cs="Times New Roman"/>
                      <w:kern w:val="0"/>
                      <w:sz w:val="21"/>
                      <w:szCs w:val="21"/>
                      <w:highlight w:val="none"/>
                      <w:lang w:eastAsia="zh-CN"/>
                    </w:rPr>
                    <w:t>；</w:t>
                  </w:r>
                  <w:r>
                    <w:rPr>
                      <w:rFonts w:hint="eastAsia" w:cs="Times New Roman"/>
                      <w:kern w:val="0"/>
                      <w:sz w:val="21"/>
                      <w:szCs w:val="21"/>
                      <w:highlight w:val="none"/>
                      <w:lang w:val="en-US" w:eastAsia="zh-CN"/>
                    </w:rPr>
                    <w:t>依托现有</w:t>
                  </w:r>
                  <w:r>
                    <w:rPr>
                      <w:rFonts w:hint="eastAsia" w:ascii="Times New Roman" w:hAnsi="Times New Roman" w:eastAsia="宋体" w:cs="Times New Roman"/>
                      <w:kern w:val="0"/>
                      <w:sz w:val="21"/>
                      <w:szCs w:val="21"/>
                      <w:highlight w:val="none"/>
                    </w:rPr>
                    <w:t>危废间</w:t>
                  </w:r>
                  <w:r>
                    <w:rPr>
                      <w:rFonts w:hint="eastAsia" w:cs="Times New Roman"/>
                      <w:kern w:val="0"/>
                      <w:sz w:val="21"/>
                      <w:szCs w:val="21"/>
                      <w:highlight w:val="none"/>
                      <w:lang w:eastAsia="zh-CN"/>
                    </w:rPr>
                    <w:t>，</w:t>
                  </w:r>
                  <w:r>
                    <w:rPr>
                      <w:rFonts w:hint="eastAsia" w:cs="Times New Roman"/>
                      <w:kern w:val="0"/>
                      <w:sz w:val="21"/>
                      <w:szCs w:val="21"/>
                      <w:highlight w:val="none"/>
                      <w:lang w:val="en-US" w:eastAsia="zh-CN"/>
                    </w:rPr>
                    <w:t>危废间</w:t>
                  </w:r>
                  <w:r>
                    <w:rPr>
                      <w:rFonts w:hint="eastAsia" w:ascii="Times New Roman" w:hAnsi="Times New Roman" w:eastAsia="宋体" w:cs="Times New Roman"/>
                      <w:kern w:val="0"/>
                      <w:sz w:val="21"/>
                      <w:szCs w:val="21"/>
                      <w:highlight w:val="none"/>
                    </w:rPr>
                    <w:t>位于2#车间1F西北侧，面积35m</w:t>
                  </w:r>
                  <w:r>
                    <w:rPr>
                      <w:rFonts w:hint="eastAsia" w:ascii="Times New Roman" w:hAnsi="Times New Roman" w:eastAsia="宋体" w:cs="Times New Roman"/>
                      <w:kern w:val="0"/>
                      <w:sz w:val="21"/>
                      <w:szCs w:val="21"/>
                      <w:highlight w:val="none"/>
                      <w:vertAlign w:val="superscript"/>
                    </w:rPr>
                    <w:t>2</w:t>
                  </w:r>
                  <w:r>
                    <w:rPr>
                      <w:rFonts w:hint="eastAsia" w:ascii="Times New Roman" w:hAnsi="Times New Roman" w:eastAsia="宋体" w:cs="Times New Roman"/>
                      <w:kern w:val="0"/>
                      <w:sz w:val="21"/>
                      <w:szCs w:val="21"/>
                      <w:highlight w:val="none"/>
                    </w:rPr>
                    <w:t>。</w:t>
                  </w:r>
                </w:p>
              </w:tc>
              <w:tc>
                <w:tcPr>
                  <w:tcW w:w="1673" w:type="pct"/>
                  <w:tcBorders>
                    <w:tl2br w:val="nil"/>
                    <w:tr2bl w:val="nil"/>
                  </w:tcBorders>
                  <w:vAlign w:val="center"/>
                </w:tcPr>
                <w:p>
                  <w:pPr>
                    <w:autoSpaceDE w:val="0"/>
                    <w:autoSpaceDN w:val="0"/>
                    <w:spacing w:line="240" w:lineRule="atLeast"/>
                    <w:jc w:val="both"/>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生活垃圾经收集后由环卫部门定期清运；废塑料、废包装统一收集后外售；废机油、废机油桶、废活性炭等在危废间暂存后定期委托有资质单位处置</w:t>
                  </w:r>
                  <w:r>
                    <w:rPr>
                      <w:rFonts w:hint="eastAsia" w:cs="Times New Roman"/>
                      <w:kern w:val="0"/>
                      <w:sz w:val="21"/>
                      <w:szCs w:val="21"/>
                      <w:highlight w:val="none"/>
                      <w:lang w:eastAsia="zh-CN"/>
                    </w:rPr>
                    <w:t>；</w:t>
                  </w:r>
                  <w:r>
                    <w:rPr>
                      <w:rFonts w:hint="eastAsia" w:cs="Times New Roman"/>
                      <w:kern w:val="0"/>
                      <w:sz w:val="21"/>
                      <w:szCs w:val="21"/>
                      <w:highlight w:val="none"/>
                      <w:lang w:val="en-US" w:eastAsia="zh-CN"/>
                    </w:rPr>
                    <w:t>依托现有</w:t>
                  </w:r>
                  <w:r>
                    <w:rPr>
                      <w:rFonts w:hint="eastAsia" w:ascii="Times New Roman" w:hAnsi="Times New Roman" w:eastAsia="宋体" w:cs="Times New Roman"/>
                      <w:kern w:val="0"/>
                      <w:sz w:val="21"/>
                      <w:szCs w:val="21"/>
                      <w:highlight w:val="none"/>
                    </w:rPr>
                    <w:t>危废间</w:t>
                  </w:r>
                  <w:r>
                    <w:rPr>
                      <w:rFonts w:hint="eastAsia" w:cs="Times New Roman"/>
                      <w:kern w:val="0"/>
                      <w:sz w:val="21"/>
                      <w:szCs w:val="21"/>
                      <w:highlight w:val="none"/>
                      <w:lang w:eastAsia="zh-CN"/>
                    </w:rPr>
                    <w:t>，</w:t>
                  </w:r>
                  <w:r>
                    <w:rPr>
                      <w:rFonts w:hint="eastAsia" w:cs="Times New Roman"/>
                      <w:kern w:val="0"/>
                      <w:sz w:val="21"/>
                      <w:szCs w:val="21"/>
                      <w:highlight w:val="none"/>
                      <w:lang w:val="en-US" w:eastAsia="zh-CN"/>
                    </w:rPr>
                    <w:t>危废间</w:t>
                  </w:r>
                  <w:r>
                    <w:rPr>
                      <w:rFonts w:hint="eastAsia" w:ascii="Times New Roman" w:hAnsi="Times New Roman" w:eastAsia="宋体" w:cs="Times New Roman"/>
                      <w:kern w:val="0"/>
                      <w:sz w:val="21"/>
                      <w:szCs w:val="21"/>
                      <w:highlight w:val="none"/>
                    </w:rPr>
                    <w:t>位于2#车间1F西北侧，面积35m</w:t>
                  </w:r>
                  <w:r>
                    <w:rPr>
                      <w:rFonts w:hint="eastAsia" w:ascii="Times New Roman" w:hAnsi="Times New Roman" w:eastAsia="宋体" w:cs="Times New Roman"/>
                      <w:kern w:val="0"/>
                      <w:sz w:val="21"/>
                      <w:szCs w:val="21"/>
                      <w:highlight w:val="none"/>
                      <w:vertAlign w:val="superscript"/>
                    </w:rPr>
                    <w:t>2</w:t>
                  </w:r>
                  <w:r>
                    <w:rPr>
                      <w:rFonts w:hint="eastAsia" w:ascii="Times New Roman" w:hAnsi="Times New Roman" w:eastAsia="宋体" w:cs="Times New Roman"/>
                      <w:kern w:val="0"/>
                      <w:sz w:val="21"/>
                      <w:szCs w:val="21"/>
                      <w:highlight w:val="none"/>
                    </w:rPr>
                    <w:t>。</w:t>
                  </w:r>
                </w:p>
              </w:tc>
              <w:tc>
                <w:tcPr>
                  <w:tcW w:w="596" w:type="pct"/>
                  <w:tcBorders>
                    <w:tl2br w:val="nil"/>
                    <w:tr2bl w:val="nil"/>
                  </w:tcBorders>
                  <w:vAlign w:val="center"/>
                </w:tcPr>
                <w:p>
                  <w:pPr>
                    <w:autoSpaceDE w:val="0"/>
                    <w:autoSpaceDN w:val="0"/>
                    <w:spacing w:line="240" w:lineRule="atLeast"/>
                    <w:jc w:val="center"/>
                    <w:rPr>
                      <w:rFonts w:ascii="Times New Roman" w:hAnsi="Times New Roman" w:eastAsia="宋体" w:cs="Times New Roman"/>
                      <w:kern w:val="0"/>
                      <w:sz w:val="21"/>
                      <w:szCs w:val="21"/>
                      <w:highlight w:val="none"/>
                    </w:rPr>
                  </w:pPr>
                  <w:r>
                    <w:rPr>
                      <w:rFonts w:hint="eastAsia" w:cs="Times New Roman"/>
                      <w:b w:val="0"/>
                      <w:bCs w:val="0"/>
                      <w:kern w:val="0"/>
                      <w:sz w:val="21"/>
                      <w:szCs w:val="21"/>
                      <w:highlight w:val="none"/>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tcBorders>
                    <w:tl2br w:val="nil"/>
                    <w:tr2bl w:val="nil"/>
                  </w:tcBorders>
                  <w:vAlign w:val="center"/>
                </w:tcPr>
                <w:p>
                  <w:pPr>
                    <w:jc w:val="center"/>
                    <w:rPr>
                      <w:rFonts w:ascii="Times New Roman" w:hAnsi="Times New Roman" w:eastAsia="宋体" w:cs="Times New Roman"/>
                      <w:b/>
                      <w:kern w:val="0"/>
                      <w:sz w:val="21"/>
                      <w:szCs w:val="21"/>
                      <w:highlight w:val="none"/>
                    </w:rPr>
                  </w:pPr>
                </w:p>
              </w:tc>
              <w:tc>
                <w:tcPr>
                  <w:tcW w:w="670" w:type="pct"/>
                  <w:tcBorders>
                    <w:tl2br w:val="nil"/>
                    <w:tr2bl w:val="nil"/>
                  </w:tcBorders>
                  <w:vAlign w:val="center"/>
                </w:tcPr>
                <w:p>
                  <w:pPr>
                    <w:autoSpaceDE w:val="0"/>
                    <w:autoSpaceDN w:val="0"/>
                    <w:spacing w:line="240" w:lineRule="atLeast"/>
                    <w:jc w:val="center"/>
                    <w:rPr>
                      <w:rFonts w:ascii="Times New Roman" w:hAnsi="Times New Roman" w:eastAsia="宋体" w:cs="Times New Roman"/>
                      <w:b/>
                      <w:bCs/>
                      <w:sz w:val="21"/>
                      <w:szCs w:val="21"/>
                      <w:highlight w:val="none"/>
                      <w:vertAlign w:val="baseline"/>
                    </w:rPr>
                  </w:pPr>
                  <w:r>
                    <w:rPr>
                      <w:rFonts w:ascii="Times New Roman" w:hAnsi="Times New Roman" w:eastAsia="宋体" w:cs="Times New Roman"/>
                      <w:kern w:val="0"/>
                      <w:sz w:val="21"/>
                      <w:szCs w:val="21"/>
                      <w:highlight w:val="none"/>
                    </w:rPr>
                    <w:t>噪声治理</w:t>
                  </w:r>
                </w:p>
              </w:tc>
              <w:tc>
                <w:tcPr>
                  <w:tcW w:w="1672" w:type="pct"/>
                  <w:tcBorders>
                    <w:tl2br w:val="nil"/>
                    <w:tr2bl w:val="nil"/>
                  </w:tcBorders>
                  <w:vAlign w:val="center"/>
                </w:tcPr>
                <w:p>
                  <w:pPr>
                    <w:autoSpaceDE w:val="0"/>
                    <w:autoSpaceDN w:val="0"/>
                    <w:spacing w:line="240" w:lineRule="atLeast"/>
                    <w:jc w:val="both"/>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生产设备置于封闭车间内，通过选用低噪声设备，通过减振隔振及距离衰减进行控制。</w:t>
                  </w:r>
                </w:p>
              </w:tc>
              <w:tc>
                <w:tcPr>
                  <w:tcW w:w="1673" w:type="pct"/>
                  <w:tcBorders>
                    <w:tl2br w:val="nil"/>
                    <w:tr2bl w:val="nil"/>
                  </w:tcBorders>
                  <w:vAlign w:val="center"/>
                </w:tcPr>
                <w:p>
                  <w:pPr>
                    <w:autoSpaceDE w:val="0"/>
                    <w:autoSpaceDN w:val="0"/>
                    <w:spacing w:line="240" w:lineRule="atLeast"/>
                    <w:jc w:val="both"/>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生产设备置于封闭车间内，通过选用低噪声设备，通过减振隔振及距离衰减进行控制。</w:t>
                  </w:r>
                </w:p>
              </w:tc>
              <w:tc>
                <w:tcPr>
                  <w:tcW w:w="596" w:type="pct"/>
                  <w:tcBorders>
                    <w:tl2br w:val="nil"/>
                    <w:tr2bl w:val="nil"/>
                  </w:tcBorders>
                  <w:vAlign w:val="center"/>
                </w:tcPr>
                <w:p>
                  <w:pPr>
                    <w:autoSpaceDE w:val="0"/>
                    <w:autoSpaceDN w:val="0"/>
                    <w:spacing w:line="240" w:lineRule="atLeast"/>
                    <w:jc w:val="center"/>
                    <w:rPr>
                      <w:rFonts w:ascii="Times New Roman" w:hAnsi="Times New Roman" w:eastAsia="宋体" w:cs="Times New Roman"/>
                      <w:kern w:val="0"/>
                      <w:sz w:val="21"/>
                      <w:szCs w:val="21"/>
                      <w:highlight w:val="none"/>
                    </w:rPr>
                  </w:pPr>
                  <w:r>
                    <w:rPr>
                      <w:rFonts w:hint="eastAsia" w:cs="Times New Roman"/>
                      <w:b w:val="0"/>
                      <w:bCs w:val="0"/>
                      <w:kern w:val="0"/>
                      <w:sz w:val="21"/>
                      <w:szCs w:val="21"/>
                      <w:highlight w:val="none"/>
                      <w:lang w:val="en-US" w:eastAsia="zh-CN"/>
                    </w:rPr>
                    <w:t>与环评一致</w:t>
                  </w:r>
                </w:p>
              </w:tc>
            </w:tr>
          </w:tbl>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3.</w:t>
            </w:r>
            <w:r>
              <w:rPr>
                <w:rFonts w:hint="eastAsia" w:cs="Times New Roman"/>
                <w:b/>
                <w:bCs/>
                <w:color w:val="auto"/>
                <w:sz w:val="24"/>
                <w:szCs w:val="24"/>
                <w:lang w:val="en-US" w:eastAsia="zh-CN"/>
              </w:rPr>
              <w:t>3</w:t>
            </w:r>
            <w:r>
              <w:rPr>
                <w:rFonts w:hint="default" w:ascii="Times New Roman" w:hAnsi="Times New Roman" w:cs="Times New Roman"/>
                <w:b/>
                <w:bCs/>
                <w:color w:val="auto"/>
                <w:sz w:val="24"/>
                <w:szCs w:val="24"/>
                <w:lang w:eastAsia="zh-CN"/>
              </w:rPr>
              <w:t xml:space="preserve"> </w:t>
            </w:r>
            <w:r>
              <w:rPr>
                <w:rFonts w:hint="eastAsia" w:cs="Times New Roman"/>
                <w:b/>
                <w:bCs/>
                <w:color w:val="auto"/>
                <w:sz w:val="24"/>
                <w:szCs w:val="24"/>
                <w:lang w:val="en-US" w:eastAsia="zh-CN"/>
              </w:rPr>
              <w:t>验收项目</w:t>
            </w:r>
            <w:r>
              <w:rPr>
                <w:rFonts w:hint="default" w:ascii="Times New Roman" w:hAnsi="Times New Roman" w:cs="Times New Roman"/>
                <w:b/>
                <w:bCs/>
                <w:color w:val="auto"/>
                <w:sz w:val="24"/>
                <w:szCs w:val="24"/>
                <w:lang w:eastAsia="zh-CN"/>
              </w:rPr>
              <w:t>主要原辅材料及能源消耗情况</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right="0" w:rightChars="0"/>
              <w:jc w:val="center"/>
              <w:textAlignment w:val="auto"/>
              <w:outlineLvl w:val="9"/>
              <w:rPr>
                <w:rFonts w:hint="eastAsia" w:ascii="Times New Roman" w:hAnsi="Times New Roman" w:cs="Times New Roman"/>
                <w:b/>
                <w:bCs/>
                <w:snapToGrid w:val="0"/>
                <w:color w:val="auto"/>
                <w:sz w:val="24"/>
                <w:szCs w:val="24"/>
                <w:vertAlign w:val="baseline"/>
                <w:lang w:val="en-US" w:eastAsia="zh-CN"/>
              </w:rPr>
            </w:pPr>
            <w:r>
              <w:rPr>
                <w:rFonts w:hint="eastAsia" w:ascii="Times New Roman" w:hAnsi="Times New Roman" w:cs="Times New Roman"/>
                <w:b/>
                <w:bCs/>
                <w:snapToGrid w:val="0"/>
                <w:color w:val="auto"/>
                <w:sz w:val="24"/>
                <w:szCs w:val="24"/>
                <w:vertAlign w:val="baseline"/>
                <w:lang w:val="en-US" w:eastAsia="zh-CN"/>
              </w:rPr>
              <w:t>表3-2  主要原辅材料及能源消耗一览表</w:t>
            </w:r>
          </w:p>
          <w:tbl>
            <w:tblPr>
              <w:tblStyle w:val="19"/>
              <w:tblW w:w="880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08"/>
              <w:gridCol w:w="1871"/>
              <w:gridCol w:w="1438"/>
              <w:gridCol w:w="1843"/>
              <w:gridCol w:w="1844"/>
              <w:gridCol w:w="110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871"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1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单位</w:t>
                  </w:r>
                </w:p>
              </w:tc>
              <w:tc>
                <w:tcPr>
                  <w:tcW w:w="3687"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消耗定额</w:t>
                  </w:r>
                </w:p>
              </w:tc>
              <w:tc>
                <w:tcPr>
                  <w:tcW w:w="1105" w:type="dxa"/>
                  <w:vMerge w:val="restart"/>
                  <w:tcBorders>
                    <w:tl2br w:val="nil"/>
                    <w:tr2bl w:val="nil"/>
                  </w:tcBorders>
                  <w:vAlign w:val="center"/>
                </w:tcPr>
                <w:p>
                  <w:pPr>
                    <w:keepNext w:val="0"/>
                    <w:keepLines w:val="0"/>
                    <w:pageBreakBefore w:val="0"/>
                    <w:widowControl w:val="0"/>
                    <w:tabs>
                      <w:tab w:val="center" w:pos="1400"/>
                    </w:tabs>
                    <w:kinsoku/>
                    <w:wordWrap/>
                    <w:overflowPunct/>
                    <w:topLinePunct w:val="0"/>
                    <w:autoSpaceDE w:val="0"/>
                    <w:autoSpaceDN w:val="0"/>
                    <w:bidi w:val="0"/>
                    <w:adjustRightInd w:val="0"/>
                    <w:snapToGrid w:val="0"/>
                    <w:spacing w:line="260" w:lineRule="exact"/>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70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jc w:val="center"/>
                    <w:rPr>
                      <w:rFonts w:hint="default" w:ascii="Times New Roman" w:hAnsi="Times New Roman" w:eastAsia="宋体" w:cs="Times New Roman"/>
                      <w:b/>
                      <w:bCs/>
                      <w:sz w:val="21"/>
                      <w:szCs w:val="21"/>
                    </w:rPr>
                  </w:pPr>
                </w:p>
              </w:tc>
              <w:tc>
                <w:tcPr>
                  <w:tcW w:w="1871" w:type="dxa"/>
                  <w:vMerge w:val="continue"/>
                  <w:tcBorders>
                    <w:tl2br w:val="nil"/>
                    <w:tr2bl w:val="nil"/>
                  </w:tcBorders>
                  <w:vAlign w:val="center"/>
                </w:tcPr>
                <w:p>
                  <w:pPr>
                    <w:keepNext w:val="0"/>
                    <w:keepLines w:val="0"/>
                    <w:pageBreakBefore w:val="0"/>
                    <w:widowControl w:val="0"/>
                    <w:tabs>
                      <w:tab w:val="center" w:pos="1400"/>
                    </w:tabs>
                    <w:kinsoku/>
                    <w:wordWrap/>
                    <w:overflowPunct/>
                    <w:topLinePunct w:val="0"/>
                    <w:autoSpaceDE w:val="0"/>
                    <w:autoSpaceDN w:val="0"/>
                    <w:bidi w:val="0"/>
                    <w:adjustRightInd w:val="0"/>
                    <w:snapToGrid w:val="0"/>
                    <w:spacing w:line="260" w:lineRule="exact"/>
                    <w:jc w:val="center"/>
                    <w:rPr>
                      <w:rFonts w:hint="default" w:ascii="Times New Roman" w:hAnsi="Times New Roman" w:eastAsia="宋体" w:cs="Times New Roman"/>
                      <w:b/>
                      <w:bCs/>
                      <w:sz w:val="21"/>
                      <w:szCs w:val="21"/>
                    </w:rPr>
                  </w:pPr>
                </w:p>
              </w:tc>
              <w:tc>
                <w:tcPr>
                  <w:tcW w:w="1438"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jc w:val="center"/>
                    <w:rPr>
                      <w:rFonts w:hint="default" w:ascii="Times New Roman" w:hAnsi="Times New Roman" w:eastAsia="宋体" w:cs="Times New Roman"/>
                      <w:b/>
                      <w:bCs/>
                      <w:sz w:val="21"/>
                      <w:szCs w:val="21"/>
                    </w:rPr>
                  </w:pPr>
                </w:p>
              </w:tc>
              <w:tc>
                <w:tcPr>
                  <w:tcW w:w="1843" w:type="dxa"/>
                  <w:tcBorders>
                    <w:tl2br w:val="nil"/>
                    <w:tr2bl w:val="nil"/>
                  </w:tcBorders>
                  <w:vAlign w:val="center"/>
                </w:tcPr>
                <w:p>
                  <w:pPr>
                    <w:keepNext w:val="0"/>
                    <w:keepLines w:val="0"/>
                    <w:pageBreakBefore w:val="0"/>
                    <w:widowControl w:val="0"/>
                    <w:tabs>
                      <w:tab w:val="center" w:pos="1400"/>
                    </w:tabs>
                    <w:kinsoku/>
                    <w:wordWrap/>
                    <w:overflowPunct/>
                    <w:topLinePunct w:val="0"/>
                    <w:autoSpaceDE w:val="0"/>
                    <w:autoSpaceDN w:val="0"/>
                    <w:bidi w:val="0"/>
                    <w:adjustRightInd w:val="0"/>
                    <w:snapToGrid w:val="0"/>
                    <w:spacing w:line="26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环评审批用量</w:t>
                  </w:r>
                </w:p>
              </w:tc>
              <w:tc>
                <w:tcPr>
                  <w:tcW w:w="1844" w:type="dxa"/>
                  <w:tcBorders>
                    <w:tl2br w:val="nil"/>
                    <w:tr2bl w:val="nil"/>
                  </w:tcBorders>
                  <w:vAlign w:val="center"/>
                </w:tcPr>
                <w:p>
                  <w:pPr>
                    <w:keepNext w:val="0"/>
                    <w:keepLines w:val="0"/>
                    <w:pageBreakBefore w:val="0"/>
                    <w:widowControl w:val="0"/>
                    <w:tabs>
                      <w:tab w:val="center" w:pos="1400"/>
                    </w:tabs>
                    <w:kinsoku/>
                    <w:wordWrap/>
                    <w:overflowPunct/>
                    <w:topLinePunct w:val="0"/>
                    <w:autoSpaceDE w:val="0"/>
                    <w:autoSpaceDN w:val="0"/>
                    <w:bidi w:val="0"/>
                    <w:adjustRightInd w:val="0"/>
                    <w:snapToGrid w:val="0"/>
                    <w:spacing w:line="260" w:lineRule="exact"/>
                    <w:jc w:val="center"/>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实际用量</w:t>
                  </w:r>
                </w:p>
              </w:tc>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jc w:val="center"/>
                    <w:rPr>
                      <w:rFonts w:hint="default" w:ascii="Times New Roman" w:hAnsi="Times New Roman" w:eastAsia="宋体" w:cs="Times New Roman"/>
                      <w:b/>
                      <w:bCs/>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87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kern w:val="0"/>
                      <w:sz w:val="21"/>
                      <w:szCs w:val="21"/>
                      <w:highlight w:val="none"/>
                      <w:lang w:val="en-US" w:eastAsia="zh-CN"/>
                    </w:rPr>
                    <w:t>聚丙烯（PP）</w:t>
                  </w:r>
                </w:p>
              </w:tc>
              <w:tc>
                <w:tcPr>
                  <w:tcW w:w="1438"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843" w:type="dxa"/>
                  <w:tcBorders>
                    <w:tl2br w:val="nil"/>
                    <w:tr2bl w:val="nil"/>
                  </w:tcBorders>
                  <w:vAlign w:val="center"/>
                </w:tcPr>
                <w:p>
                  <w:pPr>
                    <w:tabs>
                      <w:tab w:val="center" w:pos="1400"/>
                    </w:tabs>
                    <w:adjustRightInd w:val="0"/>
                    <w:snapToGrid w:val="0"/>
                    <w:ind w:left="0" w:leftChars="0" w:right="0" w:rightChars="0"/>
                    <w:jc w:val="center"/>
                    <w:rPr>
                      <w:rFonts w:hint="default" w:ascii="Times New Roman" w:hAnsi="Times New Roman" w:eastAsia="宋体" w:cs="宋体"/>
                      <w:sz w:val="22"/>
                      <w:szCs w:val="21"/>
                      <w:lang w:val="en-US" w:eastAsia="zh-CN" w:bidi="ar-SA"/>
                    </w:rPr>
                  </w:pPr>
                  <w:r>
                    <w:rPr>
                      <w:rFonts w:hint="eastAsia" w:ascii="Times New Roman" w:hAnsi="Times New Roman" w:eastAsia="宋体" w:cs="宋体"/>
                      <w:sz w:val="22"/>
                      <w:szCs w:val="21"/>
                      <w:lang w:val="en-US" w:eastAsia="zh-CN" w:bidi="ar-SA"/>
                    </w:rPr>
                    <w:t>71.28</w:t>
                  </w:r>
                </w:p>
              </w:tc>
              <w:tc>
                <w:tcPr>
                  <w:tcW w:w="1844" w:type="dxa"/>
                  <w:tcBorders>
                    <w:tl2br w:val="nil"/>
                    <w:tr2bl w:val="nil"/>
                  </w:tcBorders>
                  <w:vAlign w:val="center"/>
                </w:tcPr>
                <w:p>
                  <w:pPr>
                    <w:tabs>
                      <w:tab w:val="center" w:pos="1400"/>
                    </w:tabs>
                    <w:adjustRightInd w:val="0"/>
                    <w:snapToGrid w:val="0"/>
                    <w:ind w:left="0" w:leftChars="0" w:right="0" w:rightChars="0"/>
                    <w:jc w:val="center"/>
                    <w:rPr>
                      <w:rFonts w:hint="default" w:ascii="Times New Roman" w:hAnsi="Times New Roman" w:eastAsia="宋体" w:cs="宋体"/>
                      <w:sz w:val="22"/>
                      <w:szCs w:val="21"/>
                      <w:lang w:val="en-US" w:eastAsia="zh-CN" w:bidi="ar-SA"/>
                    </w:rPr>
                  </w:pPr>
                  <w:r>
                    <w:rPr>
                      <w:rFonts w:hint="eastAsia" w:ascii="Times New Roman" w:hAnsi="Times New Roman" w:eastAsia="宋体" w:cs="宋体"/>
                      <w:sz w:val="22"/>
                      <w:szCs w:val="21"/>
                      <w:lang w:val="en-US" w:eastAsia="zh-CN" w:bidi="ar-SA"/>
                    </w:rPr>
                    <w:t>71.28</w:t>
                  </w:r>
                </w:p>
              </w:tc>
              <w:tc>
                <w:tcPr>
                  <w:tcW w:w="1105"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2</w:t>
                  </w:r>
                </w:p>
              </w:tc>
              <w:tc>
                <w:tcPr>
                  <w:tcW w:w="187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kern w:val="0"/>
                      <w:sz w:val="21"/>
                      <w:szCs w:val="21"/>
                      <w:highlight w:val="none"/>
                      <w:lang w:val="en-US" w:eastAsia="zh-CN"/>
                    </w:rPr>
                    <w:t>K胶</w:t>
                  </w:r>
                </w:p>
              </w:tc>
              <w:tc>
                <w:tcPr>
                  <w:tcW w:w="1438"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textAlignment w:val="baseline"/>
                    <w:rPr>
                      <w:rFonts w:hint="default" w:ascii="Times New Roman" w:hAnsi="Times New Roman" w:eastAsia="宋体" w:cs="Times New Roman"/>
                      <w:sz w:val="21"/>
                      <w:szCs w:val="21"/>
                      <w:lang w:val="en-US" w:eastAsia="en-US" w:bidi="ar-SA"/>
                    </w:rPr>
                  </w:pPr>
                  <w:r>
                    <w:rPr>
                      <w:rFonts w:hint="default" w:ascii="Times New Roman" w:hAnsi="Times New Roman" w:eastAsia="宋体" w:cs="Times New Roman"/>
                      <w:sz w:val="21"/>
                      <w:szCs w:val="21"/>
                    </w:rPr>
                    <w:t>t/a</w:t>
                  </w:r>
                </w:p>
              </w:tc>
              <w:tc>
                <w:tcPr>
                  <w:tcW w:w="1843" w:type="dxa"/>
                  <w:tcBorders>
                    <w:tl2br w:val="nil"/>
                    <w:tr2bl w:val="nil"/>
                  </w:tcBorders>
                  <w:vAlign w:val="center"/>
                </w:tcPr>
                <w:p>
                  <w:pPr>
                    <w:tabs>
                      <w:tab w:val="center" w:pos="1400"/>
                    </w:tabs>
                    <w:adjustRightInd w:val="0"/>
                    <w:snapToGrid w:val="0"/>
                    <w:ind w:left="0" w:leftChars="0" w:right="0" w:rightChars="0"/>
                    <w:jc w:val="center"/>
                    <w:rPr>
                      <w:rFonts w:hint="default" w:ascii="Times New Roman" w:hAnsi="Times New Roman" w:eastAsia="宋体" w:cs="宋体"/>
                      <w:sz w:val="22"/>
                      <w:szCs w:val="21"/>
                      <w:lang w:val="en-US" w:eastAsia="zh-CN" w:bidi="ar-SA"/>
                    </w:rPr>
                  </w:pPr>
                  <w:r>
                    <w:rPr>
                      <w:rFonts w:hint="eastAsia" w:ascii="Times New Roman" w:hAnsi="Times New Roman" w:eastAsia="宋体" w:cs="宋体"/>
                      <w:sz w:val="22"/>
                      <w:szCs w:val="21"/>
                      <w:lang w:val="en-US" w:eastAsia="zh-CN" w:bidi="ar-SA"/>
                    </w:rPr>
                    <w:t>0.7</w:t>
                  </w:r>
                </w:p>
              </w:tc>
              <w:tc>
                <w:tcPr>
                  <w:tcW w:w="1844" w:type="dxa"/>
                  <w:tcBorders>
                    <w:tl2br w:val="nil"/>
                    <w:tr2bl w:val="nil"/>
                  </w:tcBorders>
                  <w:vAlign w:val="center"/>
                </w:tcPr>
                <w:p>
                  <w:pPr>
                    <w:tabs>
                      <w:tab w:val="center" w:pos="1400"/>
                    </w:tabs>
                    <w:adjustRightInd w:val="0"/>
                    <w:snapToGrid w:val="0"/>
                    <w:ind w:left="0" w:leftChars="0" w:right="0" w:rightChars="0"/>
                    <w:jc w:val="center"/>
                    <w:rPr>
                      <w:rFonts w:hint="default" w:ascii="Times New Roman" w:hAnsi="Times New Roman" w:eastAsia="宋体" w:cs="宋体"/>
                      <w:sz w:val="22"/>
                      <w:szCs w:val="21"/>
                      <w:lang w:val="en-US" w:eastAsia="zh-CN" w:bidi="ar-SA"/>
                    </w:rPr>
                  </w:pPr>
                  <w:r>
                    <w:rPr>
                      <w:rFonts w:hint="eastAsia" w:ascii="Times New Roman" w:hAnsi="Times New Roman" w:eastAsia="宋体" w:cs="宋体"/>
                      <w:sz w:val="22"/>
                      <w:szCs w:val="21"/>
                      <w:lang w:val="en-US" w:eastAsia="zh-CN" w:bidi="ar-SA"/>
                    </w:rPr>
                    <w:t>0.7</w:t>
                  </w:r>
                </w:p>
              </w:tc>
              <w:tc>
                <w:tcPr>
                  <w:tcW w:w="1105"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rPr>
                      <w:rFonts w:hint="default"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3</w:t>
                  </w:r>
                </w:p>
              </w:tc>
              <w:tc>
                <w:tcPr>
                  <w:tcW w:w="187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sz w:val="21"/>
                      <w:szCs w:val="21"/>
                      <w:lang w:val="en-US" w:eastAsia="zh-CN" w:bidi="ar-SA"/>
                    </w:rPr>
                  </w:pPr>
                  <w:r>
                    <w:rPr>
                      <w:rFonts w:hint="eastAsia" w:ascii="Times New Roman" w:hAnsi="Times New Roman" w:eastAsia="宋体" w:cs="Times New Roman"/>
                      <w:kern w:val="0"/>
                      <w:sz w:val="21"/>
                      <w:szCs w:val="21"/>
                      <w:highlight w:val="none"/>
                      <w:lang w:val="en-US" w:eastAsia="zh-CN"/>
                    </w:rPr>
                    <w:t>环烯烃聚合物（COP）</w:t>
                  </w:r>
                </w:p>
              </w:tc>
              <w:tc>
                <w:tcPr>
                  <w:tcW w:w="1438"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textAlignment w:val="baseline"/>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t/a</w:t>
                  </w:r>
                </w:p>
              </w:tc>
              <w:tc>
                <w:tcPr>
                  <w:tcW w:w="1843" w:type="dxa"/>
                  <w:tcBorders>
                    <w:tl2br w:val="nil"/>
                    <w:tr2bl w:val="nil"/>
                  </w:tcBorders>
                  <w:vAlign w:val="center"/>
                </w:tcPr>
                <w:p>
                  <w:pPr>
                    <w:tabs>
                      <w:tab w:val="center" w:pos="1400"/>
                    </w:tabs>
                    <w:adjustRightInd w:val="0"/>
                    <w:snapToGrid w:val="0"/>
                    <w:ind w:left="0" w:leftChars="0" w:right="0" w:rightChars="0"/>
                    <w:jc w:val="center"/>
                    <w:rPr>
                      <w:rFonts w:hint="default" w:ascii="Times New Roman" w:hAnsi="Times New Roman" w:cs="宋体"/>
                      <w:sz w:val="22"/>
                      <w:szCs w:val="21"/>
                      <w:lang w:val="en-US" w:eastAsia="zh-CN" w:bidi="ar-SA"/>
                    </w:rPr>
                  </w:pPr>
                  <w:r>
                    <w:rPr>
                      <w:rFonts w:hint="eastAsia" w:ascii="Times New Roman" w:hAnsi="Times New Roman" w:cs="宋体"/>
                      <w:sz w:val="22"/>
                      <w:szCs w:val="21"/>
                      <w:lang w:val="en-US" w:eastAsia="zh-CN" w:bidi="ar-SA"/>
                    </w:rPr>
                    <w:t>251.78</w:t>
                  </w:r>
                </w:p>
              </w:tc>
              <w:tc>
                <w:tcPr>
                  <w:tcW w:w="1844" w:type="dxa"/>
                  <w:tcBorders>
                    <w:tl2br w:val="nil"/>
                    <w:tr2bl w:val="nil"/>
                  </w:tcBorders>
                  <w:vAlign w:val="center"/>
                </w:tcPr>
                <w:p>
                  <w:pPr>
                    <w:tabs>
                      <w:tab w:val="center" w:pos="1400"/>
                    </w:tabs>
                    <w:adjustRightInd w:val="0"/>
                    <w:snapToGrid w:val="0"/>
                    <w:ind w:left="0" w:leftChars="0" w:right="0" w:rightChars="0"/>
                    <w:jc w:val="center"/>
                    <w:rPr>
                      <w:rFonts w:hint="eastAsia" w:ascii="Times New Roman" w:hAnsi="Times New Roman" w:cs="宋体"/>
                      <w:sz w:val="22"/>
                      <w:szCs w:val="21"/>
                      <w:lang w:val="en-US" w:eastAsia="zh-CN" w:bidi="ar-SA"/>
                    </w:rPr>
                  </w:pPr>
                  <w:r>
                    <w:rPr>
                      <w:rFonts w:hint="eastAsia" w:ascii="Times New Roman" w:hAnsi="Times New Roman" w:cs="宋体"/>
                      <w:sz w:val="22"/>
                      <w:szCs w:val="21"/>
                      <w:lang w:val="en-US" w:eastAsia="zh-CN" w:bidi="ar-SA"/>
                    </w:rPr>
                    <w:t>251.78</w:t>
                  </w:r>
                </w:p>
              </w:tc>
              <w:tc>
                <w:tcPr>
                  <w:tcW w:w="1105"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rPr>
                      <w:rFonts w:hint="default"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rPr>
                      <w:rFonts w:hint="default"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4</w:t>
                  </w:r>
                </w:p>
              </w:tc>
              <w:tc>
                <w:tcPr>
                  <w:tcW w:w="187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sz w:val="21"/>
                      <w:szCs w:val="21"/>
                      <w:lang w:val="en-US" w:eastAsia="zh-CN" w:bidi="ar-SA"/>
                    </w:rPr>
                  </w:pPr>
                  <w:r>
                    <w:rPr>
                      <w:rFonts w:hint="eastAsia" w:ascii="Times New Roman" w:hAnsi="Times New Roman" w:eastAsia="宋体" w:cs="Times New Roman"/>
                      <w:kern w:val="0"/>
                      <w:sz w:val="21"/>
                      <w:szCs w:val="21"/>
                      <w:highlight w:val="none"/>
                      <w:lang w:val="en-US" w:eastAsia="zh-CN"/>
                    </w:rPr>
                    <w:t>护帽</w:t>
                  </w:r>
                </w:p>
              </w:tc>
              <w:tc>
                <w:tcPr>
                  <w:tcW w:w="1438"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万只/年</w:t>
                  </w:r>
                </w:p>
              </w:tc>
              <w:tc>
                <w:tcPr>
                  <w:tcW w:w="1843" w:type="dxa"/>
                  <w:tcBorders>
                    <w:tl2br w:val="nil"/>
                    <w:tr2bl w:val="nil"/>
                  </w:tcBorders>
                  <w:vAlign w:val="center"/>
                </w:tcPr>
                <w:p>
                  <w:pPr>
                    <w:tabs>
                      <w:tab w:val="center" w:pos="1400"/>
                    </w:tabs>
                    <w:adjustRightInd w:val="0"/>
                    <w:snapToGrid w:val="0"/>
                    <w:ind w:left="0" w:leftChars="0" w:right="0" w:rightChars="0"/>
                    <w:jc w:val="center"/>
                    <w:rPr>
                      <w:rFonts w:hint="default" w:ascii="Times New Roman" w:hAnsi="Times New Roman" w:cs="宋体"/>
                      <w:sz w:val="22"/>
                      <w:szCs w:val="21"/>
                      <w:lang w:val="en-US" w:eastAsia="zh-CN" w:bidi="ar-SA"/>
                    </w:rPr>
                  </w:pPr>
                  <w:r>
                    <w:rPr>
                      <w:rFonts w:hint="eastAsia" w:ascii="Times New Roman" w:hAnsi="Times New Roman" w:cs="宋体"/>
                      <w:sz w:val="22"/>
                      <w:szCs w:val="21"/>
                      <w:lang w:val="en-US" w:eastAsia="zh-CN" w:bidi="ar-SA"/>
                    </w:rPr>
                    <w:t>35</w:t>
                  </w:r>
                </w:p>
              </w:tc>
              <w:tc>
                <w:tcPr>
                  <w:tcW w:w="1844" w:type="dxa"/>
                  <w:tcBorders>
                    <w:tl2br w:val="nil"/>
                    <w:tr2bl w:val="nil"/>
                  </w:tcBorders>
                  <w:vAlign w:val="center"/>
                </w:tcPr>
                <w:p>
                  <w:pPr>
                    <w:tabs>
                      <w:tab w:val="center" w:pos="1400"/>
                    </w:tabs>
                    <w:adjustRightInd w:val="0"/>
                    <w:snapToGrid w:val="0"/>
                    <w:ind w:left="0" w:leftChars="0" w:right="0" w:rightChars="0"/>
                    <w:jc w:val="center"/>
                    <w:rPr>
                      <w:rFonts w:hint="eastAsia" w:ascii="Times New Roman" w:hAnsi="Times New Roman" w:cs="宋体"/>
                      <w:sz w:val="22"/>
                      <w:szCs w:val="21"/>
                      <w:lang w:val="en-US" w:eastAsia="zh-CN" w:bidi="ar-SA"/>
                    </w:rPr>
                  </w:pPr>
                  <w:r>
                    <w:rPr>
                      <w:rFonts w:hint="eastAsia" w:ascii="Times New Roman" w:hAnsi="Times New Roman" w:cs="宋体"/>
                      <w:sz w:val="22"/>
                      <w:szCs w:val="21"/>
                      <w:lang w:val="en-US" w:eastAsia="zh-CN" w:bidi="ar-SA"/>
                    </w:rPr>
                    <w:t>35</w:t>
                  </w:r>
                </w:p>
              </w:tc>
              <w:tc>
                <w:tcPr>
                  <w:tcW w:w="1105"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rPr>
                      <w:rFonts w:hint="eastAsia"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rPr>
                      <w:rFonts w:hint="default"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5</w:t>
                  </w:r>
                </w:p>
              </w:tc>
              <w:tc>
                <w:tcPr>
                  <w:tcW w:w="187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sz w:val="21"/>
                      <w:szCs w:val="21"/>
                      <w:lang w:val="en-US" w:eastAsia="zh-CN" w:bidi="ar-SA"/>
                    </w:rPr>
                  </w:pPr>
                  <w:r>
                    <w:rPr>
                      <w:rFonts w:hint="eastAsia" w:ascii="Times New Roman" w:hAnsi="Times New Roman" w:eastAsia="宋体" w:cs="Times New Roman"/>
                      <w:kern w:val="0"/>
                      <w:sz w:val="21"/>
                      <w:szCs w:val="21"/>
                      <w:highlight w:val="none"/>
                      <w:lang w:val="en-US" w:eastAsia="zh-CN"/>
                    </w:rPr>
                    <w:t>呼吸袋</w:t>
                  </w:r>
                </w:p>
              </w:tc>
              <w:tc>
                <w:tcPr>
                  <w:tcW w:w="1438"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万个/年</w:t>
                  </w:r>
                </w:p>
              </w:tc>
              <w:tc>
                <w:tcPr>
                  <w:tcW w:w="1843" w:type="dxa"/>
                  <w:tcBorders>
                    <w:tl2br w:val="nil"/>
                    <w:tr2bl w:val="nil"/>
                  </w:tcBorders>
                  <w:vAlign w:val="center"/>
                </w:tcPr>
                <w:p>
                  <w:pPr>
                    <w:tabs>
                      <w:tab w:val="center" w:pos="1400"/>
                    </w:tabs>
                    <w:adjustRightInd w:val="0"/>
                    <w:snapToGrid w:val="0"/>
                    <w:ind w:left="0" w:leftChars="0" w:right="0" w:rightChars="0"/>
                    <w:jc w:val="center"/>
                    <w:rPr>
                      <w:rFonts w:hint="default" w:ascii="Times New Roman" w:hAnsi="Times New Roman" w:cs="宋体"/>
                      <w:sz w:val="22"/>
                      <w:szCs w:val="21"/>
                      <w:lang w:val="en-US" w:eastAsia="zh-CN" w:bidi="ar-SA"/>
                    </w:rPr>
                  </w:pPr>
                  <w:r>
                    <w:rPr>
                      <w:rFonts w:hint="eastAsia" w:ascii="Times New Roman" w:hAnsi="Times New Roman" w:cs="宋体"/>
                      <w:sz w:val="22"/>
                      <w:szCs w:val="21"/>
                      <w:lang w:val="en-US" w:eastAsia="zh-CN" w:bidi="ar-SA"/>
                    </w:rPr>
                    <w:t>2</w:t>
                  </w:r>
                </w:p>
              </w:tc>
              <w:tc>
                <w:tcPr>
                  <w:tcW w:w="1844" w:type="dxa"/>
                  <w:tcBorders>
                    <w:tl2br w:val="nil"/>
                    <w:tr2bl w:val="nil"/>
                  </w:tcBorders>
                  <w:vAlign w:val="center"/>
                </w:tcPr>
                <w:p>
                  <w:pPr>
                    <w:tabs>
                      <w:tab w:val="center" w:pos="1400"/>
                    </w:tabs>
                    <w:adjustRightInd w:val="0"/>
                    <w:snapToGrid w:val="0"/>
                    <w:ind w:left="0" w:leftChars="0" w:right="0" w:rightChars="0"/>
                    <w:jc w:val="center"/>
                    <w:rPr>
                      <w:rFonts w:hint="eastAsia" w:ascii="Times New Roman" w:hAnsi="Times New Roman" w:cs="宋体"/>
                      <w:sz w:val="22"/>
                      <w:szCs w:val="21"/>
                      <w:lang w:val="en-US" w:eastAsia="zh-CN" w:bidi="ar-SA"/>
                    </w:rPr>
                  </w:pPr>
                  <w:r>
                    <w:rPr>
                      <w:rFonts w:hint="eastAsia" w:ascii="Times New Roman" w:hAnsi="Times New Roman" w:cs="宋体"/>
                      <w:sz w:val="22"/>
                      <w:szCs w:val="21"/>
                      <w:lang w:val="en-US" w:eastAsia="zh-CN" w:bidi="ar-SA"/>
                    </w:rPr>
                    <w:t>2</w:t>
                  </w:r>
                </w:p>
              </w:tc>
              <w:tc>
                <w:tcPr>
                  <w:tcW w:w="1105"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rPr>
                      <w:rFonts w:hint="eastAsia"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rPr>
                      <w:rFonts w:hint="default"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6</w:t>
                  </w:r>
                </w:p>
              </w:tc>
              <w:tc>
                <w:tcPr>
                  <w:tcW w:w="187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sz w:val="21"/>
                      <w:szCs w:val="21"/>
                      <w:lang w:val="en-US" w:eastAsia="zh-CN" w:bidi="ar-SA"/>
                    </w:rPr>
                  </w:pPr>
                  <w:r>
                    <w:rPr>
                      <w:rFonts w:hint="eastAsia" w:ascii="Times New Roman" w:hAnsi="Times New Roman" w:eastAsia="宋体" w:cs="Times New Roman"/>
                      <w:kern w:val="0"/>
                      <w:sz w:val="21"/>
                      <w:szCs w:val="21"/>
                      <w:highlight w:val="none"/>
                      <w:lang w:val="en-US" w:eastAsia="zh-CN"/>
                    </w:rPr>
                    <w:t>纸箱</w:t>
                  </w:r>
                </w:p>
              </w:tc>
              <w:tc>
                <w:tcPr>
                  <w:tcW w:w="1438"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万个/年</w:t>
                  </w:r>
                </w:p>
              </w:tc>
              <w:tc>
                <w:tcPr>
                  <w:tcW w:w="1843" w:type="dxa"/>
                  <w:tcBorders>
                    <w:tl2br w:val="nil"/>
                    <w:tr2bl w:val="nil"/>
                  </w:tcBorders>
                  <w:vAlign w:val="center"/>
                </w:tcPr>
                <w:p>
                  <w:pPr>
                    <w:tabs>
                      <w:tab w:val="center" w:pos="1400"/>
                    </w:tabs>
                    <w:adjustRightInd w:val="0"/>
                    <w:snapToGrid w:val="0"/>
                    <w:ind w:left="0" w:leftChars="0" w:right="0" w:rightChars="0"/>
                    <w:jc w:val="center"/>
                    <w:rPr>
                      <w:rFonts w:hint="default" w:ascii="Times New Roman" w:hAnsi="Times New Roman" w:cs="宋体"/>
                      <w:sz w:val="22"/>
                      <w:szCs w:val="21"/>
                      <w:lang w:val="en-US" w:eastAsia="zh-CN" w:bidi="ar-SA"/>
                    </w:rPr>
                  </w:pPr>
                  <w:r>
                    <w:rPr>
                      <w:rFonts w:hint="eastAsia" w:ascii="Times New Roman" w:hAnsi="Times New Roman" w:cs="宋体"/>
                      <w:sz w:val="22"/>
                      <w:szCs w:val="21"/>
                      <w:lang w:val="en-US" w:eastAsia="zh-CN" w:bidi="ar-SA"/>
                    </w:rPr>
                    <w:t>15</w:t>
                  </w:r>
                </w:p>
              </w:tc>
              <w:tc>
                <w:tcPr>
                  <w:tcW w:w="1844" w:type="dxa"/>
                  <w:tcBorders>
                    <w:tl2br w:val="nil"/>
                    <w:tr2bl w:val="nil"/>
                  </w:tcBorders>
                  <w:vAlign w:val="center"/>
                </w:tcPr>
                <w:p>
                  <w:pPr>
                    <w:tabs>
                      <w:tab w:val="center" w:pos="1400"/>
                    </w:tabs>
                    <w:adjustRightInd w:val="0"/>
                    <w:snapToGrid w:val="0"/>
                    <w:ind w:left="0" w:leftChars="0" w:right="0" w:rightChars="0"/>
                    <w:jc w:val="center"/>
                    <w:rPr>
                      <w:rFonts w:hint="eastAsia" w:ascii="Times New Roman" w:hAnsi="Times New Roman" w:cs="宋体"/>
                      <w:sz w:val="22"/>
                      <w:szCs w:val="21"/>
                      <w:lang w:val="en-US" w:eastAsia="zh-CN" w:bidi="ar-SA"/>
                    </w:rPr>
                  </w:pPr>
                  <w:r>
                    <w:rPr>
                      <w:rFonts w:hint="eastAsia" w:ascii="Times New Roman" w:hAnsi="Times New Roman" w:cs="宋体"/>
                      <w:sz w:val="22"/>
                      <w:szCs w:val="21"/>
                      <w:lang w:val="en-US" w:eastAsia="zh-CN" w:bidi="ar-SA"/>
                    </w:rPr>
                    <w:t>15</w:t>
                  </w:r>
                </w:p>
              </w:tc>
              <w:tc>
                <w:tcPr>
                  <w:tcW w:w="1105"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rPr>
                      <w:rFonts w:hint="eastAsia"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rPr>
                      <w:rFonts w:hint="default"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7</w:t>
                  </w:r>
                </w:p>
              </w:tc>
              <w:tc>
                <w:tcPr>
                  <w:tcW w:w="1871"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textAlignment w:val="baseline"/>
                    <w:rPr>
                      <w:rFonts w:hint="default"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机油</w:t>
                  </w:r>
                </w:p>
              </w:tc>
              <w:tc>
                <w:tcPr>
                  <w:tcW w:w="1438"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textAlignment w:val="baseline"/>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t/a</w:t>
                  </w:r>
                </w:p>
              </w:tc>
              <w:tc>
                <w:tcPr>
                  <w:tcW w:w="1843" w:type="dxa"/>
                  <w:tcBorders>
                    <w:tl2br w:val="nil"/>
                    <w:tr2bl w:val="nil"/>
                  </w:tcBorders>
                  <w:vAlign w:val="center"/>
                </w:tcPr>
                <w:p>
                  <w:pPr>
                    <w:tabs>
                      <w:tab w:val="center" w:pos="1400"/>
                    </w:tabs>
                    <w:adjustRightInd w:val="0"/>
                    <w:snapToGrid w:val="0"/>
                    <w:ind w:left="0" w:leftChars="0" w:right="0" w:rightChars="0"/>
                    <w:jc w:val="center"/>
                    <w:rPr>
                      <w:rFonts w:hint="default" w:ascii="Times New Roman" w:hAnsi="Times New Roman" w:cs="宋体"/>
                      <w:sz w:val="22"/>
                      <w:szCs w:val="21"/>
                      <w:lang w:val="en-US" w:eastAsia="zh-CN" w:bidi="ar-SA"/>
                    </w:rPr>
                  </w:pPr>
                  <w:r>
                    <w:rPr>
                      <w:rFonts w:hint="eastAsia" w:ascii="Times New Roman" w:hAnsi="Times New Roman" w:cs="宋体"/>
                      <w:sz w:val="22"/>
                      <w:szCs w:val="21"/>
                      <w:lang w:val="en-US" w:eastAsia="zh-CN" w:bidi="ar-SA"/>
                    </w:rPr>
                    <w:t>0.1</w:t>
                  </w:r>
                </w:p>
              </w:tc>
              <w:tc>
                <w:tcPr>
                  <w:tcW w:w="1844" w:type="dxa"/>
                  <w:tcBorders>
                    <w:tl2br w:val="nil"/>
                    <w:tr2bl w:val="nil"/>
                  </w:tcBorders>
                  <w:vAlign w:val="center"/>
                </w:tcPr>
                <w:p>
                  <w:pPr>
                    <w:tabs>
                      <w:tab w:val="center" w:pos="1400"/>
                    </w:tabs>
                    <w:adjustRightInd w:val="0"/>
                    <w:snapToGrid w:val="0"/>
                    <w:ind w:left="0" w:leftChars="0" w:right="0" w:rightChars="0"/>
                    <w:jc w:val="center"/>
                    <w:rPr>
                      <w:rFonts w:hint="default" w:ascii="Times New Roman" w:hAnsi="Times New Roman" w:cs="宋体"/>
                      <w:sz w:val="22"/>
                      <w:szCs w:val="21"/>
                      <w:lang w:val="en-US" w:eastAsia="zh-CN" w:bidi="ar-SA"/>
                    </w:rPr>
                  </w:pPr>
                  <w:r>
                    <w:rPr>
                      <w:rFonts w:hint="eastAsia" w:ascii="Times New Roman" w:hAnsi="Times New Roman" w:cs="宋体"/>
                      <w:sz w:val="22"/>
                      <w:szCs w:val="21"/>
                      <w:lang w:val="en-US" w:eastAsia="zh-CN" w:bidi="ar-SA"/>
                    </w:rPr>
                    <w:t>/</w:t>
                  </w:r>
                </w:p>
              </w:tc>
              <w:tc>
                <w:tcPr>
                  <w:tcW w:w="1105"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rPr>
                      <w:rFonts w:hint="default"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809" w:type="dxa"/>
                  <w:gridSpan w:val="6"/>
                  <w:tcBorders>
                    <w:tl2br w:val="nil"/>
                    <w:tr2bl w:val="nil"/>
                  </w:tcBorders>
                  <w:vAlign w:val="center"/>
                </w:tcPr>
                <w:p>
                  <w:pPr>
                    <w:keepNext w:val="0"/>
                    <w:keepLines w:val="0"/>
                    <w:pageBreakBefore w:val="0"/>
                    <w:widowControl w:val="0"/>
                    <w:tabs>
                      <w:tab w:val="center" w:pos="1400"/>
                    </w:tabs>
                    <w:kinsoku/>
                    <w:wordWrap/>
                    <w:overflowPunct/>
                    <w:topLinePunct w:val="0"/>
                    <w:autoSpaceDE w:val="0"/>
                    <w:autoSpaceDN w:val="0"/>
                    <w:bidi w:val="0"/>
                    <w:adjustRightInd w:val="0"/>
                    <w:snapToGrid w:val="0"/>
                    <w:spacing w:line="26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b/>
                      <w:bCs/>
                      <w:sz w:val="21"/>
                      <w:szCs w:val="21"/>
                      <w:lang w:val="en-US" w:eastAsia="zh-CN"/>
                    </w:rPr>
                    <w:t>能源消耗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1871"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highlight w:val="none"/>
                    </w:rPr>
                    <w:t>电</w:t>
                  </w:r>
                </w:p>
              </w:tc>
              <w:tc>
                <w:tcPr>
                  <w:tcW w:w="1438"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rPr>
                      <w:rFonts w:hint="default" w:ascii="Times New Roman" w:hAnsi="Times New Roman" w:eastAsia="宋体" w:cs="Times New Roman"/>
                      <w:sz w:val="21"/>
                      <w:szCs w:val="21"/>
                      <w:lang w:val="en-US" w:eastAsia="en-US" w:bidi="ar-SA"/>
                    </w:rPr>
                  </w:pPr>
                  <w:r>
                    <w:rPr>
                      <w:rFonts w:hint="default" w:ascii="Times New Roman" w:hAnsi="Times New Roman" w:eastAsia="宋体" w:cs="Times New Roman"/>
                      <w:sz w:val="21"/>
                      <w:szCs w:val="21"/>
                      <w:highlight w:val="none"/>
                    </w:rPr>
                    <w:t>万kWh/a</w:t>
                  </w:r>
                </w:p>
              </w:tc>
              <w:tc>
                <w:tcPr>
                  <w:tcW w:w="1843" w:type="dxa"/>
                  <w:tcBorders>
                    <w:tl2br w:val="nil"/>
                    <w:tr2bl w:val="nil"/>
                  </w:tcBorders>
                  <w:vAlign w:val="center"/>
                </w:tcPr>
                <w:p>
                  <w:pPr>
                    <w:ind w:left="0" w:leftChars="0" w:right="0" w:rightChars="0"/>
                    <w:jc w:val="center"/>
                    <w:rPr>
                      <w:rFonts w:hint="default" w:ascii="Times New Roman" w:hAnsi="Times New Roman" w:eastAsia="宋体" w:cs="宋体"/>
                      <w:sz w:val="22"/>
                      <w:szCs w:val="21"/>
                      <w:lang w:val="en-US" w:eastAsia="zh-CN" w:bidi="ar-SA"/>
                    </w:rPr>
                  </w:pPr>
                  <w:r>
                    <w:rPr>
                      <w:rFonts w:hint="eastAsia" w:ascii="Times New Roman" w:hAnsi="Times New Roman" w:eastAsia="宋体" w:cs="宋体"/>
                      <w:sz w:val="22"/>
                      <w:szCs w:val="21"/>
                      <w:lang w:val="en-US" w:eastAsia="zh-CN" w:bidi="ar-SA"/>
                    </w:rPr>
                    <w:t>400</w:t>
                  </w:r>
                </w:p>
              </w:tc>
              <w:tc>
                <w:tcPr>
                  <w:tcW w:w="1844" w:type="dxa"/>
                  <w:tcBorders>
                    <w:tl2br w:val="nil"/>
                    <w:tr2bl w:val="nil"/>
                  </w:tcBorders>
                  <w:vAlign w:val="center"/>
                </w:tcPr>
                <w:p>
                  <w:pPr>
                    <w:ind w:left="0" w:leftChars="0" w:right="0" w:rightChars="0"/>
                    <w:jc w:val="center"/>
                    <w:rPr>
                      <w:rFonts w:hint="default" w:ascii="Times New Roman" w:hAnsi="Times New Roman" w:eastAsia="宋体" w:cs="宋体"/>
                      <w:sz w:val="22"/>
                      <w:szCs w:val="21"/>
                      <w:lang w:val="en-US" w:eastAsia="zh-CN" w:bidi="ar-SA"/>
                    </w:rPr>
                  </w:pPr>
                  <w:r>
                    <w:rPr>
                      <w:rFonts w:hint="eastAsia" w:ascii="Times New Roman" w:hAnsi="Times New Roman" w:eastAsia="宋体" w:cs="宋体"/>
                      <w:sz w:val="22"/>
                      <w:szCs w:val="21"/>
                      <w:lang w:val="en-US" w:eastAsia="zh-CN" w:bidi="ar-SA"/>
                    </w:rPr>
                    <w:t>400</w:t>
                  </w:r>
                </w:p>
              </w:tc>
              <w:tc>
                <w:tcPr>
                  <w:tcW w:w="1105"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2</w:t>
                  </w:r>
                </w:p>
              </w:tc>
              <w:tc>
                <w:tcPr>
                  <w:tcW w:w="1871"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rPr>
                      <w:rFonts w:hint="default" w:ascii="Times New Roman" w:hAnsi="Times New Roman" w:eastAsia="宋体" w:cs="Times New Roman"/>
                      <w:sz w:val="21"/>
                      <w:szCs w:val="21"/>
                      <w:lang w:val="en-US" w:eastAsia="en-US" w:bidi="ar-SA"/>
                    </w:rPr>
                  </w:pPr>
                  <w:r>
                    <w:rPr>
                      <w:rFonts w:hint="default" w:ascii="Times New Roman" w:hAnsi="Times New Roman" w:eastAsia="宋体" w:cs="Times New Roman"/>
                      <w:sz w:val="21"/>
                      <w:szCs w:val="21"/>
                      <w:highlight w:val="none"/>
                    </w:rPr>
                    <w:t>新鲜水</w:t>
                  </w:r>
                </w:p>
              </w:tc>
              <w:tc>
                <w:tcPr>
                  <w:tcW w:w="1438" w:type="dxa"/>
                  <w:tcBorders>
                    <w:tl2br w:val="nil"/>
                    <w:tr2bl w:val="nil"/>
                  </w:tcBorders>
                  <w:vAlign w:val="center"/>
                </w:tcPr>
                <w:p>
                  <w:pPr>
                    <w:keepNext w:val="0"/>
                    <w:keepLines w:val="0"/>
                    <w:pageBreakBefore w:val="0"/>
                    <w:widowControl w:val="0"/>
                    <w:kinsoku/>
                    <w:wordWrap/>
                    <w:overflowPunct/>
                    <w:topLinePunct w:val="0"/>
                    <w:autoSpaceDE w:val="0"/>
                    <w:autoSpaceDN w:val="0"/>
                    <w:bidi w:val="0"/>
                    <w:spacing w:line="260" w:lineRule="exact"/>
                    <w:ind w:left="0" w:leftChars="0" w:right="0" w:rightChars="0"/>
                    <w:jc w:val="center"/>
                    <w:rPr>
                      <w:rFonts w:hint="default" w:ascii="Times New Roman" w:hAnsi="Times New Roman" w:eastAsia="宋体" w:cs="Times New Roman"/>
                      <w:sz w:val="21"/>
                      <w:szCs w:val="21"/>
                      <w:lang w:val="en-US" w:eastAsia="en-US" w:bidi="ar-SA"/>
                    </w:rPr>
                  </w:pP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/a</w:t>
                  </w:r>
                </w:p>
              </w:tc>
              <w:tc>
                <w:tcPr>
                  <w:tcW w:w="1843" w:type="dxa"/>
                  <w:tcBorders>
                    <w:tl2br w:val="nil"/>
                    <w:tr2bl w:val="nil"/>
                  </w:tcBorders>
                  <w:vAlign w:val="center"/>
                </w:tcPr>
                <w:p>
                  <w:pPr>
                    <w:ind w:left="0" w:leftChars="0" w:right="0" w:rightChars="0"/>
                    <w:jc w:val="center"/>
                    <w:rPr>
                      <w:rFonts w:hint="default" w:ascii="Times New Roman" w:hAnsi="Times New Roman" w:eastAsia="宋体" w:cs="宋体"/>
                      <w:sz w:val="22"/>
                      <w:szCs w:val="21"/>
                      <w:lang w:val="en-US" w:eastAsia="zh-CN" w:bidi="ar-SA"/>
                    </w:rPr>
                  </w:pPr>
                  <w:r>
                    <w:rPr>
                      <w:rFonts w:hint="eastAsia" w:ascii="Times New Roman" w:hAnsi="Times New Roman" w:eastAsia="宋体" w:cs="宋体"/>
                      <w:sz w:val="22"/>
                      <w:szCs w:val="21"/>
                      <w:lang w:val="en-US" w:eastAsia="zh-CN" w:bidi="ar-SA"/>
                    </w:rPr>
                    <w:t>1894.2</w:t>
                  </w:r>
                </w:p>
              </w:tc>
              <w:tc>
                <w:tcPr>
                  <w:tcW w:w="1844" w:type="dxa"/>
                  <w:tcBorders>
                    <w:tl2br w:val="nil"/>
                    <w:tr2bl w:val="nil"/>
                  </w:tcBorders>
                  <w:vAlign w:val="center"/>
                </w:tcPr>
                <w:p>
                  <w:pPr>
                    <w:ind w:left="0" w:leftChars="0" w:right="0" w:rightChars="0"/>
                    <w:jc w:val="center"/>
                    <w:rPr>
                      <w:rFonts w:hint="default" w:ascii="Times New Roman" w:hAnsi="Times New Roman" w:eastAsia="宋体" w:cs="宋体"/>
                      <w:sz w:val="22"/>
                      <w:szCs w:val="21"/>
                      <w:lang w:val="en-US" w:eastAsia="zh-CN" w:bidi="ar-SA"/>
                    </w:rPr>
                  </w:pPr>
                  <w:r>
                    <w:rPr>
                      <w:rFonts w:hint="eastAsia" w:ascii="Times New Roman" w:hAnsi="Times New Roman" w:eastAsia="宋体" w:cs="宋体"/>
                      <w:sz w:val="22"/>
                      <w:szCs w:val="21"/>
                      <w:lang w:val="en-US" w:eastAsia="zh-CN" w:bidi="ar-SA"/>
                    </w:rPr>
                    <w:t>1894.2</w:t>
                  </w:r>
                </w:p>
              </w:tc>
              <w:tc>
                <w:tcPr>
                  <w:tcW w:w="1105" w:type="dxa"/>
                  <w:tcBorders>
                    <w:tl2br w:val="nil"/>
                    <w:tr2bl w:val="nil"/>
                  </w:tcBorders>
                  <w:vAlign w:val="center"/>
                </w:tcPr>
                <w:p>
                  <w:pPr>
                    <w:keepNext w:val="0"/>
                    <w:keepLines w:val="0"/>
                    <w:pageBreakBefore w:val="0"/>
                    <w:widowControl w:val="0"/>
                    <w:tabs>
                      <w:tab w:val="center" w:pos="1400"/>
                    </w:tabs>
                    <w:kinsoku/>
                    <w:wordWrap/>
                    <w:overflowPunct/>
                    <w:topLinePunct w:val="0"/>
                    <w:autoSpaceDE w:val="0"/>
                    <w:autoSpaceDN w:val="0"/>
                    <w:bidi w:val="0"/>
                    <w:adjustRightInd w:val="0"/>
                    <w:snapToGrid w:val="0"/>
                    <w:spacing w:line="260" w:lineRule="exact"/>
                    <w:ind w:left="0" w:leftChars="0" w:right="0" w:rightChars="0"/>
                    <w:jc w:val="center"/>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一致</w:t>
                  </w:r>
                </w:p>
              </w:tc>
            </w:tr>
          </w:tbl>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3.</w:t>
            </w:r>
            <w:r>
              <w:rPr>
                <w:rFonts w:hint="eastAsia" w:cs="Times New Roman"/>
                <w:b/>
                <w:bCs/>
                <w:color w:val="auto"/>
                <w:sz w:val="24"/>
                <w:szCs w:val="24"/>
                <w:lang w:val="en-US" w:eastAsia="zh-CN"/>
              </w:rPr>
              <w:t>4</w:t>
            </w:r>
            <w:r>
              <w:rPr>
                <w:rFonts w:hint="default" w:ascii="Times New Roman" w:hAnsi="Times New Roman" w:cs="Times New Roman"/>
                <w:b/>
                <w:bCs/>
                <w:color w:val="auto"/>
                <w:sz w:val="24"/>
                <w:szCs w:val="24"/>
                <w:lang w:eastAsia="zh-CN"/>
              </w:rPr>
              <w:t xml:space="preserve"> 水源及水平衡</w:t>
            </w:r>
          </w:p>
          <w:p>
            <w:pPr>
              <w:adjustRightInd w:val="0"/>
              <w:snapToGrid w:val="0"/>
              <w:spacing w:line="360" w:lineRule="auto"/>
              <w:ind w:firstLine="480" w:firstLineChars="200"/>
              <w:rPr>
                <w:sz w:val="24"/>
                <w:szCs w:val="24"/>
                <w:highlight w:val="none"/>
              </w:rPr>
            </w:pPr>
            <w:r>
              <w:rPr>
                <w:sz w:val="24"/>
                <w:szCs w:val="24"/>
                <w:highlight w:val="none"/>
              </w:rPr>
              <w:t>（1）</w:t>
            </w:r>
            <w:r>
              <w:rPr>
                <w:rFonts w:hint="eastAsia"/>
                <w:sz w:val="24"/>
                <w:szCs w:val="24"/>
                <w:highlight w:val="none"/>
              </w:rPr>
              <w:t>给</w:t>
            </w:r>
            <w:r>
              <w:rPr>
                <w:sz w:val="24"/>
                <w:szCs w:val="24"/>
                <w:highlight w:val="none"/>
              </w:rPr>
              <w:t>水</w:t>
            </w:r>
          </w:p>
          <w:p>
            <w:pPr>
              <w:adjustRightInd w:val="0"/>
              <w:snapToGrid w:val="0"/>
              <w:spacing w:line="360" w:lineRule="auto"/>
              <w:ind w:firstLine="480" w:firstLineChars="200"/>
              <w:rPr>
                <w:sz w:val="24"/>
                <w:szCs w:val="24"/>
                <w:highlight w:val="none"/>
              </w:rPr>
            </w:pPr>
            <w:r>
              <w:rPr>
                <w:rFonts w:hint="eastAsia"/>
                <w:sz w:val="24"/>
                <w:szCs w:val="24"/>
                <w:highlight w:val="none"/>
                <w:lang w:val="en-US" w:eastAsia="zh-CN"/>
              </w:rPr>
              <w:t>本</w:t>
            </w:r>
            <w:r>
              <w:rPr>
                <w:sz w:val="24"/>
                <w:szCs w:val="24"/>
                <w:highlight w:val="none"/>
              </w:rPr>
              <w:t>项目运营期用水主要</w:t>
            </w:r>
            <w:r>
              <w:rPr>
                <w:rFonts w:hint="eastAsia"/>
                <w:sz w:val="24"/>
                <w:szCs w:val="24"/>
                <w:highlight w:val="none"/>
              </w:rPr>
              <w:t>为</w:t>
            </w:r>
            <w:r>
              <w:rPr>
                <w:rFonts w:hint="eastAsia"/>
                <w:sz w:val="24"/>
                <w:szCs w:val="24"/>
                <w:highlight w:val="none"/>
                <w:lang w:val="en-US" w:eastAsia="zh-CN"/>
              </w:rPr>
              <w:t>冷却循环水</w:t>
            </w:r>
            <w:r>
              <w:rPr>
                <w:rFonts w:hint="eastAsia"/>
                <w:sz w:val="24"/>
                <w:szCs w:val="24"/>
                <w:highlight w:val="none"/>
                <w:lang w:eastAsia="zh-CN"/>
              </w:rPr>
              <w:t>、</w:t>
            </w:r>
            <w:r>
              <w:rPr>
                <w:rFonts w:hint="eastAsia"/>
                <w:sz w:val="24"/>
                <w:szCs w:val="24"/>
                <w:highlight w:val="none"/>
                <w:lang w:val="en-US" w:eastAsia="zh-CN"/>
              </w:rPr>
              <w:t>职工</w:t>
            </w:r>
            <w:r>
              <w:rPr>
                <w:sz w:val="24"/>
                <w:szCs w:val="24"/>
                <w:highlight w:val="none"/>
              </w:rPr>
              <w:t>生活用</w:t>
            </w:r>
            <w:r>
              <w:rPr>
                <w:rFonts w:hint="eastAsia"/>
                <w:sz w:val="24"/>
                <w:szCs w:val="24"/>
                <w:highlight w:val="none"/>
                <w:lang w:val="en-US" w:eastAsia="zh-CN"/>
              </w:rPr>
              <w:t>水</w:t>
            </w:r>
            <w:r>
              <w:rPr>
                <w:sz w:val="24"/>
                <w:szCs w:val="24"/>
                <w:highlight w:val="none"/>
              </w:rPr>
              <w:t>。</w:t>
            </w:r>
          </w:p>
          <w:p>
            <w:pPr>
              <w:adjustRightInd w:val="0"/>
              <w:snapToGrid w:val="0"/>
              <w:spacing w:line="360" w:lineRule="auto"/>
              <w:ind w:firstLine="480" w:firstLineChars="200"/>
              <w:rPr>
                <w:rFonts w:hint="default" w:eastAsia="宋体"/>
                <w:sz w:val="24"/>
                <w:szCs w:val="24"/>
                <w:highlight w:val="none"/>
                <w:lang w:val="en-US" w:eastAsia="zh-CN"/>
              </w:rPr>
            </w:pPr>
            <w:r>
              <w:rPr>
                <w:sz w:val="24"/>
                <w:szCs w:val="24"/>
                <w:highlight w:val="none"/>
              </w:rPr>
              <w:t>①</w:t>
            </w:r>
            <w:r>
              <w:rPr>
                <w:rFonts w:hint="eastAsia"/>
                <w:sz w:val="24"/>
                <w:szCs w:val="24"/>
                <w:highlight w:val="none"/>
                <w:lang w:val="en-US" w:eastAsia="zh-CN"/>
              </w:rPr>
              <w:t>冷却循环水</w:t>
            </w:r>
          </w:p>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sz w:val="24"/>
                <w:szCs w:val="24"/>
                <w:highlight w:val="none"/>
                <w:lang w:val="en-US" w:eastAsia="zh-CN"/>
              </w:rPr>
            </w:pPr>
            <w:r>
              <w:rPr>
                <w:rFonts w:hint="eastAsia"/>
                <w:sz w:val="24"/>
                <w:szCs w:val="24"/>
                <w:highlight w:val="none"/>
                <w:lang w:val="en-US" w:eastAsia="zh-CN"/>
              </w:rPr>
              <w:t>根据建设单位提供资料，拟建项目注塑机或吹瓶机模具内设有循环冷却水路，并配套冷水机组对模具进行间接冷却，总循环水量约为45</w:t>
            </w:r>
            <w:r>
              <w:rPr>
                <w:rFonts w:hint="eastAsia"/>
                <w:b w:val="0"/>
                <w:bCs w:val="0"/>
                <w:kern w:val="0"/>
                <w:sz w:val="24"/>
                <w:szCs w:val="24"/>
                <w:highlight w:val="none"/>
                <w:lang w:val="en-US" w:eastAsia="zh-CN"/>
              </w:rPr>
              <w:t>m</w:t>
            </w:r>
            <w:r>
              <w:rPr>
                <w:rFonts w:hint="eastAsia"/>
                <w:b w:val="0"/>
                <w:bCs w:val="0"/>
                <w:kern w:val="0"/>
                <w:sz w:val="24"/>
                <w:szCs w:val="24"/>
                <w:highlight w:val="none"/>
                <w:vertAlign w:val="superscript"/>
                <w:lang w:val="en-US" w:eastAsia="zh-CN"/>
              </w:rPr>
              <w:t>3</w:t>
            </w:r>
            <w:r>
              <w:rPr>
                <w:rFonts w:hint="eastAsia"/>
                <w:b w:val="0"/>
                <w:bCs w:val="0"/>
                <w:kern w:val="0"/>
                <w:sz w:val="24"/>
                <w:szCs w:val="24"/>
                <w:highlight w:val="none"/>
                <w:lang w:eastAsia="zh-CN"/>
              </w:rPr>
              <w:t>/h，</w:t>
            </w:r>
            <w:r>
              <w:rPr>
                <w:rFonts w:hint="eastAsia"/>
                <w:b w:val="0"/>
                <w:bCs w:val="0"/>
                <w:kern w:val="0"/>
                <w:sz w:val="24"/>
                <w:szCs w:val="24"/>
                <w:highlight w:val="none"/>
                <w:lang w:val="en-US" w:eastAsia="zh-CN"/>
              </w:rPr>
              <w:t>冷却循环系统每天工作24h，每年工作330天，年运行时间为7920h，</w:t>
            </w:r>
            <w:r>
              <w:rPr>
                <w:rFonts w:hint="eastAsia"/>
                <w:b w:val="0"/>
                <w:bCs w:val="0"/>
                <w:kern w:val="0"/>
                <w:sz w:val="24"/>
                <w:szCs w:val="24"/>
                <w:highlight w:val="none"/>
                <w:lang w:eastAsia="zh-CN"/>
              </w:rPr>
              <w:t>补水量按循环水量的0.3%计，</w:t>
            </w:r>
            <w:r>
              <w:rPr>
                <w:rFonts w:hint="eastAsia"/>
                <w:b w:val="0"/>
                <w:bCs w:val="0"/>
                <w:kern w:val="0"/>
                <w:sz w:val="24"/>
                <w:szCs w:val="24"/>
                <w:highlight w:val="none"/>
                <w:lang w:val="en-US" w:eastAsia="zh-CN"/>
              </w:rPr>
              <w:t>则冷却循环系统</w:t>
            </w:r>
            <w:r>
              <w:rPr>
                <w:rFonts w:hint="eastAsia"/>
                <w:b w:val="0"/>
                <w:bCs w:val="0"/>
                <w:kern w:val="0"/>
                <w:sz w:val="24"/>
                <w:szCs w:val="24"/>
                <w:highlight w:val="none"/>
                <w:lang w:eastAsia="zh-CN"/>
              </w:rPr>
              <w:t>补水量</w:t>
            </w:r>
            <w:r>
              <w:rPr>
                <w:rFonts w:hint="eastAsia"/>
                <w:b w:val="0"/>
                <w:bCs w:val="0"/>
                <w:kern w:val="0"/>
                <w:sz w:val="24"/>
                <w:szCs w:val="24"/>
                <w:highlight w:val="none"/>
                <w:lang w:val="en-US" w:eastAsia="zh-CN"/>
              </w:rPr>
              <w:t>为3.24m</w:t>
            </w:r>
            <w:r>
              <w:rPr>
                <w:rFonts w:hint="eastAsia"/>
                <w:b w:val="0"/>
                <w:bCs w:val="0"/>
                <w:kern w:val="0"/>
                <w:sz w:val="24"/>
                <w:szCs w:val="24"/>
                <w:highlight w:val="none"/>
                <w:vertAlign w:val="superscript"/>
              </w:rPr>
              <w:t>3</w:t>
            </w:r>
            <w:r>
              <w:rPr>
                <w:rFonts w:hint="eastAsia"/>
                <w:b w:val="0"/>
                <w:bCs w:val="0"/>
                <w:kern w:val="0"/>
                <w:sz w:val="24"/>
                <w:szCs w:val="24"/>
                <w:highlight w:val="none"/>
              </w:rPr>
              <w:t>/</w:t>
            </w:r>
            <w:r>
              <w:rPr>
                <w:rFonts w:hint="eastAsia"/>
                <w:b w:val="0"/>
                <w:bCs w:val="0"/>
                <w:kern w:val="0"/>
                <w:sz w:val="24"/>
                <w:szCs w:val="24"/>
                <w:highlight w:val="none"/>
                <w:lang w:val="en-US" w:eastAsia="zh-CN"/>
              </w:rPr>
              <w:t>d（1069.2m</w:t>
            </w:r>
            <w:r>
              <w:rPr>
                <w:rFonts w:hint="eastAsia"/>
                <w:b w:val="0"/>
                <w:bCs w:val="0"/>
                <w:kern w:val="0"/>
                <w:sz w:val="24"/>
                <w:szCs w:val="24"/>
                <w:highlight w:val="none"/>
                <w:vertAlign w:val="superscript"/>
                <w:lang w:val="en-US" w:eastAsia="zh-CN"/>
              </w:rPr>
              <w:t>3</w:t>
            </w:r>
            <w:r>
              <w:rPr>
                <w:rFonts w:hint="eastAsia"/>
                <w:b w:val="0"/>
                <w:bCs w:val="0"/>
                <w:kern w:val="0"/>
                <w:sz w:val="24"/>
                <w:szCs w:val="24"/>
                <w:highlight w:val="none"/>
                <w:lang w:val="en-US" w:eastAsia="zh-CN"/>
              </w:rPr>
              <w:t>/a），系使用新鲜水；冷却水循环使用，不外排。</w:t>
            </w:r>
          </w:p>
          <w:p>
            <w:pPr>
              <w:spacing w:line="360" w:lineRule="auto"/>
              <w:ind w:firstLine="480" w:firstLineChars="200"/>
              <w:rPr>
                <w:sz w:val="24"/>
                <w:szCs w:val="24"/>
                <w:highlight w:val="none"/>
              </w:rPr>
            </w:pPr>
            <w:r>
              <w:rPr>
                <w:rFonts w:hint="eastAsia"/>
                <w:sz w:val="24"/>
                <w:szCs w:val="24"/>
                <w:highlight w:val="none"/>
              </w:rPr>
              <w:t>②</w:t>
            </w:r>
            <w:r>
              <w:rPr>
                <w:sz w:val="24"/>
                <w:szCs w:val="24"/>
                <w:highlight w:val="none"/>
              </w:rPr>
              <w:t>生活用水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sz w:val="24"/>
                <w:szCs w:val="24"/>
                <w:highlight w:val="none"/>
              </w:rPr>
            </w:pPr>
            <w:r>
              <w:rPr>
                <w:rFonts w:hint="eastAsia"/>
                <w:sz w:val="24"/>
                <w:szCs w:val="24"/>
                <w:highlight w:val="none"/>
                <w:lang w:val="en-US" w:eastAsia="zh-CN"/>
              </w:rPr>
              <w:t>本</w:t>
            </w:r>
            <w:r>
              <w:rPr>
                <w:sz w:val="24"/>
                <w:szCs w:val="24"/>
                <w:highlight w:val="none"/>
              </w:rPr>
              <w:t>项目</w:t>
            </w:r>
            <w:r>
              <w:rPr>
                <w:rFonts w:hint="eastAsia"/>
                <w:sz w:val="24"/>
                <w:szCs w:val="24"/>
                <w:highlight w:val="none"/>
                <w:lang w:val="en-US" w:eastAsia="zh-CN"/>
              </w:rPr>
              <w:t>新增劳动</w:t>
            </w:r>
            <w:r>
              <w:rPr>
                <w:sz w:val="24"/>
                <w:szCs w:val="24"/>
                <w:highlight w:val="none"/>
              </w:rPr>
              <w:t>定员</w:t>
            </w:r>
            <w:r>
              <w:rPr>
                <w:rFonts w:hint="eastAsia"/>
                <w:sz w:val="24"/>
                <w:szCs w:val="24"/>
                <w:highlight w:val="none"/>
                <w:lang w:val="en-US" w:eastAsia="zh-CN"/>
              </w:rPr>
              <w:t>50</w:t>
            </w:r>
            <w:r>
              <w:rPr>
                <w:sz w:val="24"/>
                <w:szCs w:val="24"/>
                <w:highlight w:val="none"/>
              </w:rPr>
              <w:t>人，生活用水按照</w:t>
            </w:r>
            <w:r>
              <w:rPr>
                <w:rFonts w:hint="eastAsia"/>
                <w:sz w:val="24"/>
                <w:szCs w:val="24"/>
                <w:highlight w:val="none"/>
                <w:lang w:val="en-US" w:eastAsia="zh-CN"/>
              </w:rPr>
              <w:t>50</w:t>
            </w:r>
            <w:r>
              <w:rPr>
                <w:sz w:val="24"/>
                <w:szCs w:val="24"/>
                <w:highlight w:val="none"/>
              </w:rPr>
              <w:t>L/</w:t>
            </w:r>
            <w:r>
              <w:rPr>
                <w:rFonts w:hint="eastAsia"/>
                <w:sz w:val="24"/>
                <w:szCs w:val="24"/>
                <w:highlight w:val="none"/>
                <w:lang w:eastAsia="zh-CN"/>
              </w:rPr>
              <w:t>（</w:t>
            </w:r>
            <w:r>
              <w:rPr>
                <w:sz w:val="24"/>
                <w:szCs w:val="24"/>
                <w:highlight w:val="none"/>
              </w:rPr>
              <w:t>人•</w:t>
            </w:r>
            <w:r>
              <w:rPr>
                <w:rFonts w:hint="eastAsia"/>
                <w:sz w:val="24"/>
                <w:szCs w:val="24"/>
                <w:highlight w:val="none"/>
                <w:lang w:val="en-US" w:eastAsia="zh-CN"/>
              </w:rPr>
              <w:t xml:space="preserve"> </w:t>
            </w:r>
            <w:r>
              <w:rPr>
                <w:sz w:val="24"/>
                <w:szCs w:val="24"/>
                <w:highlight w:val="none"/>
              </w:rPr>
              <w:t>d</w:t>
            </w:r>
            <w:r>
              <w:rPr>
                <w:rFonts w:hint="eastAsia"/>
                <w:sz w:val="24"/>
                <w:szCs w:val="24"/>
                <w:highlight w:val="none"/>
                <w:lang w:eastAsia="zh-CN"/>
              </w:rPr>
              <w:t>）</w:t>
            </w:r>
            <w:r>
              <w:rPr>
                <w:sz w:val="24"/>
                <w:szCs w:val="24"/>
                <w:highlight w:val="none"/>
              </w:rPr>
              <w:t>估算，全年工作3</w:t>
            </w:r>
            <w:r>
              <w:rPr>
                <w:rFonts w:hint="eastAsia"/>
                <w:sz w:val="24"/>
                <w:szCs w:val="24"/>
                <w:highlight w:val="none"/>
                <w:lang w:val="en-US" w:eastAsia="zh-CN"/>
              </w:rPr>
              <w:t>3</w:t>
            </w:r>
            <w:r>
              <w:rPr>
                <w:sz w:val="24"/>
                <w:szCs w:val="24"/>
                <w:highlight w:val="none"/>
              </w:rPr>
              <w:t>0d，用水量为</w:t>
            </w:r>
            <w:r>
              <w:rPr>
                <w:rFonts w:hint="eastAsia"/>
                <w:sz w:val="24"/>
                <w:szCs w:val="24"/>
                <w:highlight w:val="none"/>
                <w:lang w:val="en-US" w:eastAsia="zh-CN"/>
              </w:rPr>
              <w:t>825</w:t>
            </w:r>
            <w:r>
              <w:rPr>
                <w:rFonts w:hint="eastAsia"/>
                <w:b w:val="0"/>
                <w:bCs w:val="0"/>
                <w:kern w:val="0"/>
                <w:sz w:val="24"/>
                <w:szCs w:val="24"/>
                <w:highlight w:val="none"/>
              </w:rPr>
              <w:t>m</w:t>
            </w:r>
            <w:r>
              <w:rPr>
                <w:rFonts w:hint="eastAsia"/>
                <w:b w:val="0"/>
                <w:bCs w:val="0"/>
                <w:kern w:val="0"/>
                <w:sz w:val="24"/>
                <w:szCs w:val="24"/>
                <w:highlight w:val="none"/>
                <w:vertAlign w:val="superscript"/>
              </w:rPr>
              <w:t>3</w:t>
            </w:r>
            <w:r>
              <w:rPr>
                <w:rFonts w:hint="eastAsia"/>
                <w:b w:val="0"/>
                <w:bCs w:val="0"/>
                <w:kern w:val="0"/>
                <w:sz w:val="24"/>
                <w:szCs w:val="24"/>
                <w:highlight w:val="none"/>
              </w:rPr>
              <w:t>/a</w:t>
            </w:r>
            <w:r>
              <w:rPr>
                <w:sz w:val="24"/>
                <w:szCs w:val="24"/>
                <w:highlight w:val="none"/>
              </w:rPr>
              <w:t>，系使用新鲜水。</w:t>
            </w:r>
          </w:p>
          <w:p>
            <w:pPr>
              <w:keepNext w:val="0"/>
              <w:keepLines w:val="0"/>
              <w:widowControl/>
              <w:suppressLineNumbers w:val="0"/>
              <w:spacing w:line="360" w:lineRule="auto"/>
              <w:ind w:firstLine="480" w:firstLineChars="200"/>
              <w:jc w:val="both"/>
              <w:rPr>
                <w:rFonts w:hint="eastAsia" w:ascii="宋体" w:hAnsi="宋体" w:eastAsia="宋体" w:cs="宋体"/>
                <w:color w:val="000000"/>
                <w:kern w:val="0"/>
                <w:sz w:val="24"/>
                <w:szCs w:val="24"/>
                <w:highlight w:val="none"/>
                <w:lang w:val="en-US" w:eastAsia="zh-CN"/>
              </w:rPr>
            </w:pPr>
            <w:r>
              <w:rPr>
                <w:rFonts w:hint="eastAsia" w:ascii="Times New Roman" w:hAnsi="Times New Roman" w:eastAsia="宋体" w:cs="Times New Roman"/>
                <w:color w:val="000000"/>
                <w:kern w:val="0"/>
                <w:sz w:val="24"/>
                <w:szCs w:val="24"/>
                <w:highlight w:val="none"/>
                <w:lang w:val="en-US" w:eastAsia="zh-CN"/>
              </w:rPr>
              <w:t>根据现有项目环评，现有项目全厂用水量为</w:t>
            </w:r>
            <w:r>
              <w:rPr>
                <w:rFonts w:hint="default" w:ascii="Times New Roman" w:hAnsi="Times New Roman" w:eastAsia="宋体" w:cs="Times New Roman"/>
                <w:color w:val="000000"/>
                <w:kern w:val="0"/>
                <w:sz w:val="24"/>
                <w:szCs w:val="24"/>
                <w:highlight w:val="none"/>
                <w:lang w:val="en-US" w:eastAsia="zh-CN"/>
              </w:rPr>
              <w:t>33606m</w:t>
            </w:r>
            <w:r>
              <w:rPr>
                <w:rFonts w:hint="default" w:ascii="Times New Roman" w:hAnsi="Times New Roman" w:eastAsia="宋体" w:cs="Times New Roman"/>
                <w:color w:val="000000"/>
                <w:kern w:val="0"/>
                <w:sz w:val="24"/>
                <w:szCs w:val="24"/>
                <w:highlight w:val="none"/>
                <w:vertAlign w:val="superscript"/>
                <w:lang w:val="en-US" w:eastAsia="zh-CN"/>
              </w:rPr>
              <w:t>3</w:t>
            </w:r>
            <w:r>
              <w:rPr>
                <w:rFonts w:hint="default" w:ascii="Times New Roman" w:hAnsi="Times New Roman" w:eastAsia="宋体" w:cs="Times New Roman"/>
                <w:color w:val="000000"/>
                <w:kern w:val="0"/>
                <w:sz w:val="24"/>
                <w:szCs w:val="24"/>
                <w:highlight w:val="none"/>
                <w:lang w:val="en-US" w:eastAsia="zh-CN"/>
              </w:rPr>
              <w:t xml:space="preserve"> /a</w:t>
            </w:r>
            <w:r>
              <w:rPr>
                <w:rFonts w:hint="eastAsia" w:ascii="Times New Roman" w:hAnsi="Times New Roman" w:eastAsia="宋体" w:cs="Times New Roman"/>
                <w:color w:val="000000"/>
                <w:kern w:val="0"/>
                <w:sz w:val="24"/>
                <w:szCs w:val="24"/>
                <w:highlight w:val="none"/>
                <w:lang w:val="en-US" w:eastAsia="zh-CN"/>
              </w:rPr>
              <w:t>，包括33000m</w:t>
            </w:r>
            <w:r>
              <w:rPr>
                <w:rFonts w:hint="eastAsia" w:ascii="Times New Roman" w:hAnsi="Times New Roman" w:eastAsia="宋体" w:cs="Times New Roman"/>
                <w:color w:val="000000"/>
                <w:kern w:val="0"/>
                <w:sz w:val="24"/>
                <w:szCs w:val="24"/>
                <w:highlight w:val="none"/>
                <w:vertAlign w:val="superscript"/>
                <w:lang w:val="en-US" w:eastAsia="zh-CN"/>
              </w:rPr>
              <w:t>3</w:t>
            </w:r>
            <w:r>
              <w:rPr>
                <w:rFonts w:hint="eastAsia" w:ascii="Times New Roman" w:hAnsi="Times New Roman" w:eastAsia="宋体" w:cs="Times New Roman"/>
                <w:color w:val="000000"/>
                <w:kern w:val="0"/>
                <w:sz w:val="24"/>
                <w:szCs w:val="24"/>
                <w:highlight w:val="none"/>
                <w:lang w:val="en-US" w:eastAsia="zh-CN"/>
              </w:rPr>
              <w:t>/a生活用水、600m</w:t>
            </w:r>
            <w:r>
              <w:rPr>
                <w:rFonts w:hint="eastAsia" w:ascii="Times New Roman" w:hAnsi="Times New Roman" w:eastAsia="宋体" w:cs="Times New Roman"/>
                <w:color w:val="000000"/>
                <w:kern w:val="0"/>
                <w:sz w:val="24"/>
                <w:szCs w:val="24"/>
                <w:highlight w:val="none"/>
                <w:vertAlign w:val="superscript"/>
                <w:lang w:val="en-US" w:eastAsia="zh-CN"/>
              </w:rPr>
              <w:t>3</w:t>
            </w:r>
            <w:r>
              <w:rPr>
                <w:rFonts w:hint="eastAsia" w:ascii="Times New Roman" w:hAnsi="Times New Roman" w:eastAsia="宋体" w:cs="Times New Roman"/>
                <w:color w:val="000000"/>
                <w:kern w:val="0"/>
                <w:sz w:val="24"/>
                <w:szCs w:val="24"/>
                <w:highlight w:val="none"/>
                <w:lang w:val="en-US" w:eastAsia="zh-CN"/>
              </w:rPr>
              <w:t>/a循环冷却水、5m</w:t>
            </w:r>
            <w:r>
              <w:rPr>
                <w:rFonts w:hint="eastAsia" w:ascii="Times New Roman" w:hAnsi="Times New Roman" w:eastAsia="宋体" w:cs="Times New Roman"/>
                <w:color w:val="000000"/>
                <w:kern w:val="0"/>
                <w:sz w:val="24"/>
                <w:szCs w:val="24"/>
                <w:highlight w:val="none"/>
                <w:vertAlign w:val="superscript"/>
                <w:lang w:val="en-US" w:eastAsia="zh-CN"/>
              </w:rPr>
              <w:t>3</w:t>
            </w:r>
            <w:r>
              <w:rPr>
                <w:rFonts w:hint="eastAsia" w:ascii="Times New Roman" w:hAnsi="Times New Roman" w:eastAsia="宋体" w:cs="Times New Roman"/>
                <w:color w:val="000000"/>
                <w:kern w:val="0"/>
                <w:sz w:val="24"/>
                <w:szCs w:val="24"/>
                <w:highlight w:val="none"/>
                <w:lang w:val="en-US" w:eastAsia="zh-CN"/>
              </w:rPr>
              <w:t>/a硫酸稀释用水和1m</w:t>
            </w:r>
            <w:r>
              <w:rPr>
                <w:rFonts w:hint="eastAsia" w:ascii="Times New Roman" w:hAnsi="Times New Roman" w:eastAsia="宋体" w:cs="Times New Roman"/>
                <w:color w:val="000000"/>
                <w:kern w:val="0"/>
                <w:sz w:val="24"/>
                <w:szCs w:val="24"/>
                <w:highlight w:val="none"/>
                <w:vertAlign w:val="superscript"/>
                <w:lang w:val="en-US" w:eastAsia="zh-CN"/>
              </w:rPr>
              <w:t>3</w:t>
            </w:r>
            <w:r>
              <w:rPr>
                <w:rFonts w:hint="eastAsia" w:ascii="Times New Roman" w:hAnsi="Times New Roman" w:eastAsia="宋体" w:cs="Times New Roman"/>
                <w:color w:val="000000"/>
                <w:kern w:val="0"/>
                <w:sz w:val="24"/>
                <w:szCs w:val="24"/>
                <w:highlight w:val="none"/>
                <w:lang w:val="en-US" w:eastAsia="zh-CN"/>
              </w:rPr>
              <w:t>/a纯水（灭菌柜加湿用水），其中</w:t>
            </w:r>
            <w:r>
              <w:rPr>
                <w:rFonts w:hint="default" w:ascii="Times New Roman" w:hAnsi="Times New Roman" w:eastAsia="宋体" w:cs="Times New Roman"/>
                <w:color w:val="000000"/>
                <w:kern w:val="0"/>
                <w:sz w:val="24"/>
                <w:szCs w:val="24"/>
                <w:highlight w:val="none"/>
                <w:lang w:val="en-US" w:eastAsia="zh-CN"/>
              </w:rPr>
              <w:t>330605m</w:t>
            </w:r>
            <w:r>
              <w:rPr>
                <w:rFonts w:hint="default" w:ascii="Times New Roman" w:hAnsi="Times New Roman" w:eastAsia="宋体" w:cs="Times New Roman"/>
                <w:color w:val="000000"/>
                <w:kern w:val="0"/>
                <w:sz w:val="24"/>
                <w:szCs w:val="24"/>
                <w:highlight w:val="none"/>
                <w:vertAlign w:val="superscript"/>
                <w:lang w:val="en-US" w:eastAsia="zh-CN"/>
              </w:rPr>
              <w:t>3</w:t>
            </w:r>
            <w:r>
              <w:rPr>
                <w:rFonts w:hint="default" w:ascii="Times New Roman" w:hAnsi="Times New Roman" w:eastAsia="宋体" w:cs="Times New Roman"/>
                <w:color w:val="000000"/>
                <w:kern w:val="0"/>
                <w:sz w:val="24"/>
                <w:szCs w:val="24"/>
                <w:highlight w:val="none"/>
                <w:lang w:val="en-US" w:eastAsia="zh-CN"/>
              </w:rPr>
              <w:t xml:space="preserve"> /a </w:t>
            </w:r>
            <w:r>
              <w:rPr>
                <w:rFonts w:hint="eastAsia" w:ascii="Times New Roman" w:hAnsi="Times New Roman" w:eastAsia="宋体" w:cs="Times New Roman"/>
                <w:color w:val="000000"/>
                <w:kern w:val="0"/>
                <w:sz w:val="24"/>
                <w:szCs w:val="24"/>
                <w:highlight w:val="none"/>
                <w:lang w:val="en-US" w:eastAsia="zh-CN"/>
              </w:rPr>
              <w:t>由市政自来水管网供给，</w:t>
            </w:r>
            <w:r>
              <w:rPr>
                <w:rFonts w:hint="default" w:ascii="Times New Roman" w:hAnsi="Times New Roman" w:eastAsia="宋体" w:cs="Times New Roman"/>
                <w:color w:val="000000"/>
                <w:kern w:val="0"/>
                <w:sz w:val="24"/>
                <w:szCs w:val="24"/>
                <w:highlight w:val="none"/>
                <w:lang w:val="en-US" w:eastAsia="zh-CN"/>
              </w:rPr>
              <w:t>1m</w:t>
            </w:r>
            <w:r>
              <w:rPr>
                <w:rFonts w:hint="default" w:ascii="Times New Roman" w:hAnsi="Times New Roman" w:eastAsia="宋体" w:cs="Times New Roman"/>
                <w:color w:val="000000"/>
                <w:kern w:val="0"/>
                <w:sz w:val="24"/>
                <w:szCs w:val="24"/>
                <w:highlight w:val="none"/>
                <w:vertAlign w:val="superscript"/>
                <w:lang w:val="en-US" w:eastAsia="zh-CN"/>
              </w:rPr>
              <w:t xml:space="preserve">3 </w:t>
            </w:r>
            <w:r>
              <w:rPr>
                <w:rFonts w:hint="default" w:ascii="Times New Roman" w:hAnsi="Times New Roman" w:eastAsia="宋体" w:cs="Times New Roman"/>
                <w:color w:val="000000"/>
                <w:kern w:val="0"/>
                <w:sz w:val="24"/>
                <w:szCs w:val="24"/>
                <w:highlight w:val="none"/>
                <w:lang w:val="en-US" w:eastAsia="zh-CN"/>
              </w:rPr>
              <w:t xml:space="preserve">/a </w:t>
            </w:r>
            <w:r>
              <w:rPr>
                <w:rFonts w:hint="eastAsia" w:ascii="Times New Roman" w:hAnsi="Times New Roman" w:eastAsia="宋体" w:cs="Times New Roman"/>
                <w:color w:val="000000"/>
                <w:kern w:val="0"/>
                <w:sz w:val="24"/>
                <w:szCs w:val="24"/>
                <w:highlight w:val="none"/>
                <w:lang w:val="en-US" w:eastAsia="zh-CN"/>
              </w:rPr>
              <w:t>纯水为外购。</w:t>
            </w:r>
            <w:r>
              <w:rPr>
                <w:rFonts w:hint="eastAsia" w:ascii="宋体" w:hAnsi="宋体" w:eastAsia="宋体" w:cs="宋体"/>
                <w:color w:val="000000"/>
                <w:kern w:val="0"/>
                <w:sz w:val="24"/>
                <w:szCs w:val="24"/>
                <w:highlight w:val="none"/>
                <w:lang w:val="en-US" w:eastAsia="zh-CN"/>
              </w:rPr>
              <w:t xml:space="preserve"> </w:t>
            </w:r>
          </w:p>
          <w:p>
            <w:pPr>
              <w:pStyle w:val="30"/>
              <w:rPr>
                <w:rFonts w:ascii="Times New Roman" w:hAnsi="Times New Roman"/>
                <w:sz w:val="24"/>
                <w:szCs w:val="24"/>
                <w:highlight w:val="none"/>
              </w:rPr>
            </w:pPr>
            <w:r>
              <w:rPr>
                <w:rFonts w:hint="eastAsia" w:ascii="Times New Roman" w:hAnsi="Times New Roman"/>
                <w:sz w:val="24"/>
                <w:szCs w:val="24"/>
                <w:highlight w:val="none"/>
              </w:rPr>
              <w:t>综上，本项目建成后全厂用水量为</w:t>
            </w:r>
            <w:r>
              <w:rPr>
                <w:rFonts w:hint="eastAsia" w:ascii="Times New Roman" w:hAnsi="Times New Roman"/>
                <w:sz w:val="24"/>
                <w:szCs w:val="24"/>
                <w:highlight w:val="none"/>
                <w:lang w:val="en-US" w:eastAsia="zh-CN"/>
              </w:rPr>
              <w:t>35500.2</w:t>
            </w:r>
            <w:r>
              <w:rPr>
                <w:rFonts w:hint="eastAsia" w:ascii="Times New Roman" w:hAnsi="Times New Roman"/>
                <w:sz w:val="24"/>
                <w:szCs w:val="24"/>
                <w:highlight w:val="none"/>
              </w:rPr>
              <w:t>m</w:t>
            </w:r>
            <w:r>
              <w:rPr>
                <w:rFonts w:hint="eastAsia" w:ascii="Times New Roman" w:hAnsi="Times New Roman"/>
                <w:sz w:val="24"/>
                <w:szCs w:val="24"/>
                <w:highlight w:val="none"/>
                <w:vertAlign w:val="superscript"/>
              </w:rPr>
              <w:t>3</w:t>
            </w:r>
            <w:r>
              <w:rPr>
                <w:rFonts w:hint="eastAsia" w:ascii="Times New Roman" w:hAnsi="Times New Roman"/>
                <w:sz w:val="24"/>
                <w:szCs w:val="24"/>
                <w:highlight w:val="none"/>
              </w:rPr>
              <w:t>/a，其中3</w:t>
            </w:r>
            <w:r>
              <w:rPr>
                <w:rFonts w:hint="eastAsia" w:ascii="Times New Roman" w:hAnsi="Times New Roman"/>
                <w:sz w:val="24"/>
                <w:szCs w:val="24"/>
                <w:highlight w:val="none"/>
                <w:lang w:val="en-US" w:eastAsia="zh-CN"/>
              </w:rPr>
              <w:t>5499.2</w:t>
            </w:r>
            <w:r>
              <w:rPr>
                <w:rFonts w:hint="eastAsia" w:ascii="Times New Roman" w:hAnsi="Times New Roman"/>
                <w:sz w:val="24"/>
                <w:szCs w:val="24"/>
                <w:highlight w:val="none"/>
              </w:rPr>
              <w:t>m</w:t>
            </w:r>
            <w:r>
              <w:rPr>
                <w:rFonts w:hint="eastAsia" w:ascii="Times New Roman" w:hAnsi="Times New Roman"/>
                <w:sz w:val="24"/>
                <w:szCs w:val="24"/>
                <w:highlight w:val="none"/>
                <w:vertAlign w:val="superscript"/>
              </w:rPr>
              <w:t>3</w:t>
            </w:r>
            <w:r>
              <w:rPr>
                <w:rFonts w:hint="eastAsia" w:ascii="Times New Roman" w:hAnsi="Times New Roman"/>
                <w:sz w:val="24"/>
                <w:szCs w:val="24"/>
                <w:highlight w:val="none"/>
              </w:rPr>
              <w:t>/a 由市政自来水管网供给，1m</w:t>
            </w:r>
            <w:r>
              <w:rPr>
                <w:rFonts w:hint="eastAsia" w:ascii="Times New Roman" w:hAnsi="Times New Roman"/>
                <w:sz w:val="24"/>
                <w:szCs w:val="24"/>
                <w:highlight w:val="none"/>
                <w:vertAlign w:val="superscript"/>
              </w:rPr>
              <w:t>3</w:t>
            </w:r>
            <w:r>
              <w:rPr>
                <w:rFonts w:hint="eastAsia" w:ascii="Times New Roman" w:hAnsi="Times New Roman"/>
                <w:sz w:val="24"/>
                <w:szCs w:val="24"/>
                <w:highlight w:val="none"/>
              </w:rPr>
              <w:t>/a 纯水为外购。</w:t>
            </w:r>
          </w:p>
          <w:p>
            <w:pPr>
              <w:numPr>
                <w:ilvl w:val="0"/>
                <w:numId w:val="0"/>
              </w:numPr>
              <w:adjustRightInd w:val="0"/>
              <w:snapToGrid w:val="0"/>
              <w:spacing w:line="360" w:lineRule="auto"/>
              <w:ind w:leftChars="150"/>
              <w:rPr>
                <w:rFonts w:hint="eastAsia"/>
                <w:sz w:val="24"/>
                <w:szCs w:val="24"/>
                <w:highlight w:val="none"/>
              </w:rPr>
            </w:pPr>
            <w:r>
              <w:rPr>
                <w:rFonts w:hint="eastAsia"/>
                <w:sz w:val="24"/>
                <w:szCs w:val="24"/>
                <w:highlight w:val="none"/>
                <w:lang w:eastAsia="zh-CN"/>
              </w:rPr>
              <w:t>（</w:t>
            </w:r>
            <w:r>
              <w:rPr>
                <w:rFonts w:hint="eastAsia"/>
                <w:sz w:val="24"/>
                <w:szCs w:val="24"/>
                <w:highlight w:val="none"/>
                <w:lang w:val="en-US" w:eastAsia="zh-CN"/>
              </w:rPr>
              <w:t>2</w:t>
            </w:r>
            <w:r>
              <w:rPr>
                <w:rFonts w:hint="eastAsia"/>
                <w:sz w:val="24"/>
                <w:szCs w:val="24"/>
                <w:highlight w:val="none"/>
                <w:lang w:eastAsia="zh-CN"/>
              </w:rPr>
              <w:t>）</w:t>
            </w:r>
            <w:r>
              <w:rPr>
                <w:rFonts w:hint="eastAsia"/>
                <w:sz w:val="24"/>
                <w:szCs w:val="24"/>
                <w:highlight w:val="none"/>
              </w:rPr>
              <w:t>排水</w:t>
            </w:r>
          </w:p>
          <w:p>
            <w:pPr>
              <w:pStyle w:val="30"/>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Times New Roman" w:hAnsi="Times New Roman"/>
                <w:kern w:val="0"/>
                <w:sz w:val="24"/>
                <w:szCs w:val="24"/>
                <w:highlight w:val="none"/>
                <w:lang w:val="en-US" w:eastAsia="zh-CN"/>
              </w:rPr>
            </w:pPr>
            <w:r>
              <w:rPr>
                <w:rFonts w:hint="eastAsia" w:ascii="Times New Roman" w:hAnsi="Times New Roman"/>
                <w:kern w:val="0"/>
                <w:sz w:val="24"/>
                <w:szCs w:val="24"/>
                <w:highlight w:val="none"/>
                <w:lang w:val="en-US" w:eastAsia="zh-CN"/>
              </w:rPr>
              <w:t>生活污水产生量按用水量的80%计，生活污水产生量为660 m</w:t>
            </w:r>
            <w:r>
              <w:rPr>
                <w:rFonts w:hint="eastAsia" w:ascii="Times New Roman" w:hAnsi="Times New Roman"/>
                <w:kern w:val="0"/>
                <w:sz w:val="24"/>
                <w:szCs w:val="24"/>
                <w:highlight w:val="none"/>
                <w:vertAlign w:val="superscript"/>
                <w:lang w:val="en-US" w:eastAsia="zh-CN"/>
              </w:rPr>
              <w:t>3</w:t>
            </w:r>
            <w:r>
              <w:rPr>
                <w:rFonts w:hint="eastAsia" w:ascii="Times New Roman" w:hAnsi="Times New Roman"/>
                <w:kern w:val="0"/>
                <w:sz w:val="24"/>
                <w:szCs w:val="24"/>
                <w:highlight w:val="none"/>
                <w:lang w:val="en-US" w:eastAsia="zh-CN"/>
              </w:rPr>
              <w:t>/a，生活废水经化粪池预处理达标后通过市政管网排入齐城污水处理厂处理。</w:t>
            </w:r>
          </w:p>
          <w:p>
            <w:pPr>
              <w:adjustRightInd w:val="0"/>
              <w:snapToGrid w:val="0"/>
              <w:spacing w:line="360" w:lineRule="auto"/>
              <w:ind w:firstLine="480" w:firstLineChars="200"/>
              <w:rPr>
                <w:rFonts w:hint="eastAsia" w:eastAsia="宋体"/>
                <w:sz w:val="24"/>
                <w:szCs w:val="24"/>
                <w:highlight w:val="none"/>
                <w:lang w:val="en-US" w:eastAsia="zh-CN"/>
              </w:rPr>
            </w:pPr>
            <w:r>
              <w:rPr>
                <w:rFonts w:hint="eastAsia"/>
                <w:sz w:val="24"/>
                <w:szCs w:val="24"/>
                <w:highlight w:val="none"/>
              </w:rPr>
              <w:t>现有项目生活污水排放量为26400m</w:t>
            </w:r>
            <w:r>
              <w:rPr>
                <w:rFonts w:hint="eastAsia"/>
                <w:sz w:val="24"/>
                <w:szCs w:val="24"/>
                <w:highlight w:val="none"/>
                <w:vertAlign w:val="superscript"/>
              </w:rPr>
              <w:t>3</w:t>
            </w:r>
            <w:r>
              <w:rPr>
                <w:rFonts w:hint="eastAsia"/>
                <w:sz w:val="24"/>
                <w:szCs w:val="24"/>
                <w:highlight w:val="none"/>
              </w:rPr>
              <w:t>/a</w:t>
            </w:r>
            <w:r>
              <w:rPr>
                <w:rFonts w:hint="eastAsia"/>
                <w:sz w:val="24"/>
                <w:szCs w:val="24"/>
                <w:highlight w:val="none"/>
                <w:lang w:eastAsia="zh-CN"/>
              </w:rPr>
              <w:t>，</w:t>
            </w:r>
            <w:r>
              <w:rPr>
                <w:rFonts w:hint="eastAsia"/>
                <w:sz w:val="24"/>
                <w:szCs w:val="24"/>
                <w:highlight w:val="none"/>
                <w:lang w:val="en-US" w:eastAsia="zh-CN"/>
              </w:rPr>
              <w:t>本项目建成后生活污水排放量增至27060</w:t>
            </w:r>
            <w:r>
              <w:rPr>
                <w:rFonts w:hint="eastAsia"/>
                <w:sz w:val="24"/>
                <w:szCs w:val="24"/>
                <w:highlight w:val="none"/>
              </w:rPr>
              <w:t>m</w:t>
            </w:r>
            <w:r>
              <w:rPr>
                <w:rFonts w:hint="eastAsia"/>
                <w:sz w:val="24"/>
                <w:szCs w:val="24"/>
                <w:highlight w:val="none"/>
                <w:vertAlign w:val="superscript"/>
              </w:rPr>
              <w:t>3</w:t>
            </w:r>
            <w:r>
              <w:rPr>
                <w:rFonts w:hint="eastAsia"/>
                <w:sz w:val="24"/>
                <w:szCs w:val="24"/>
                <w:highlight w:val="none"/>
              </w:rPr>
              <w:t>/a</w:t>
            </w:r>
            <w:r>
              <w:rPr>
                <w:rFonts w:hint="eastAsia"/>
                <w:sz w:val="24"/>
                <w:szCs w:val="24"/>
                <w:highlight w:val="none"/>
                <w:lang w:eastAsia="zh-CN"/>
              </w:rPr>
              <w:t>。</w:t>
            </w:r>
          </w:p>
          <w:p>
            <w:pPr>
              <w:adjustRightInd w:val="0"/>
              <w:snapToGrid w:val="0"/>
              <w:spacing w:line="360" w:lineRule="auto"/>
              <w:ind w:firstLine="480" w:firstLineChars="200"/>
              <w:rPr>
                <w:rFonts w:hint="eastAsia"/>
                <w:sz w:val="24"/>
                <w:szCs w:val="24"/>
                <w:highlight w:val="none"/>
              </w:rPr>
            </w:pPr>
            <w:r>
              <w:rPr>
                <w:rFonts w:hint="eastAsia"/>
                <w:sz w:val="24"/>
                <w:szCs w:val="24"/>
                <w:highlight w:val="none"/>
                <w:lang w:val="en-US" w:eastAsia="zh-CN"/>
              </w:rPr>
              <w:t>本</w:t>
            </w:r>
            <w:r>
              <w:rPr>
                <w:rFonts w:hint="eastAsia"/>
                <w:sz w:val="24"/>
                <w:szCs w:val="24"/>
                <w:highlight w:val="none"/>
              </w:rPr>
              <w:t>项目</w:t>
            </w:r>
            <w:r>
              <w:rPr>
                <w:sz w:val="24"/>
                <w:szCs w:val="24"/>
                <w:highlight w:val="none"/>
              </w:rPr>
              <w:t>水平衡见图</w:t>
            </w:r>
            <w:r>
              <w:rPr>
                <w:rFonts w:hint="eastAsia"/>
                <w:sz w:val="24"/>
                <w:szCs w:val="24"/>
                <w:highlight w:val="none"/>
                <w:lang w:val="en-US" w:eastAsia="zh-CN"/>
              </w:rPr>
              <w:t>4，本项目建成后全厂水平衡见图5。</w:t>
            </w:r>
          </w:p>
          <w:p>
            <w:pPr>
              <w:pStyle w:val="30"/>
              <w:jc w:val="center"/>
              <w:rPr>
                <w:rFonts w:hint="eastAsia"/>
                <w:highlight w:val="none"/>
              </w:rPr>
            </w:pPr>
            <w:r>
              <w:rPr>
                <w:rFonts w:hint="eastAsia"/>
                <w:highlight w:val="none"/>
              </w:rPr>
              <w:object>
                <v:shape id="_x0000_i1025" o:spt="75" type="#_x0000_t75" style="height:173.35pt;width:315.6pt;" o:ole="t" filled="f" stroked="f" coordsize="21600,21600">
                  <v:path/>
                  <v:fill on="f" focussize="0,0"/>
                  <v:stroke on="f"/>
                  <v:imagedata r:id="rId12" embosscolor="#FFFFFF" o:title=""/>
                  <o:lock v:ext="edit" aspectratio="t"/>
                  <w10:wrap type="none"/>
                  <w10:anchorlock/>
                </v:shape>
                <o:OLEObject Type="Embed" ProgID="Visio.Drawing.15" ShapeID="_x0000_i1025" DrawAspect="Content" ObjectID="_1468075725" r:id="rId11">
                  <o:LockedField>false</o:LockedField>
                </o:OLEObject>
              </w:object>
            </w:r>
          </w:p>
          <w:p>
            <w:pPr>
              <w:pStyle w:val="30"/>
              <w:spacing w:line="240" w:lineRule="auto"/>
              <w:ind w:left="0" w:leftChars="0" w:firstLine="0" w:firstLineChars="0"/>
              <w:jc w:val="center"/>
              <w:rPr>
                <w:rFonts w:hint="eastAsia" w:ascii="Times New Roman" w:hAnsi="Times New Roman"/>
                <w:b/>
                <w:bCs/>
                <w:kern w:val="0"/>
                <w:sz w:val="24"/>
                <w:szCs w:val="24"/>
                <w:highlight w:val="none"/>
              </w:rPr>
            </w:pPr>
            <w:r>
              <w:rPr>
                <w:rFonts w:ascii="Times New Roman" w:hAnsi="Times New Roman"/>
                <w:b/>
                <w:bCs/>
                <w:kern w:val="0"/>
                <w:sz w:val="24"/>
                <w:szCs w:val="24"/>
                <w:highlight w:val="none"/>
              </w:rPr>
              <w:t>图</w:t>
            </w:r>
            <w:r>
              <w:rPr>
                <w:rFonts w:hint="eastAsia" w:ascii="Times New Roman" w:hAnsi="Times New Roman"/>
                <w:b/>
                <w:bCs/>
                <w:kern w:val="0"/>
                <w:sz w:val="24"/>
                <w:szCs w:val="24"/>
                <w:highlight w:val="none"/>
                <w:lang w:val="en-US" w:eastAsia="zh-CN"/>
              </w:rPr>
              <w:t>4</w:t>
            </w:r>
            <w:r>
              <w:rPr>
                <w:rFonts w:ascii="Times New Roman" w:hAnsi="Times New Roman"/>
                <w:b/>
                <w:bCs/>
                <w:kern w:val="0"/>
                <w:sz w:val="24"/>
                <w:szCs w:val="24"/>
                <w:highlight w:val="none"/>
              </w:rPr>
              <w:t xml:space="preserve">  </w:t>
            </w:r>
            <w:r>
              <w:rPr>
                <w:rFonts w:hint="eastAsia" w:ascii="Times New Roman" w:hAnsi="Times New Roman"/>
                <w:b/>
                <w:bCs/>
                <w:kern w:val="0"/>
                <w:sz w:val="24"/>
                <w:szCs w:val="24"/>
                <w:highlight w:val="none"/>
                <w:lang w:val="en-US" w:eastAsia="zh-CN"/>
              </w:rPr>
              <w:t>本项目</w:t>
            </w:r>
            <w:r>
              <w:rPr>
                <w:rFonts w:ascii="Times New Roman" w:hAnsi="Times New Roman"/>
                <w:b/>
                <w:bCs/>
                <w:kern w:val="0"/>
                <w:sz w:val="24"/>
                <w:szCs w:val="24"/>
                <w:highlight w:val="none"/>
              </w:rPr>
              <w:t>水平衡图</w:t>
            </w:r>
            <w:r>
              <w:rPr>
                <w:rFonts w:hint="eastAsia" w:ascii="Times New Roman" w:hAnsi="Times New Roman"/>
                <w:b/>
                <w:bCs/>
                <w:kern w:val="0"/>
                <w:sz w:val="24"/>
                <w:szCs w:val="24"/>
                <w:highlight w:val="none"/>
              </w:rPr>
              <w:t>（单位：m</w:t>
            </w:r>
            <w:r>
              <w:rPr>
                <w:rFonts w:hint="eastAsia" w:ascii="Times New Roman" w:hAnsi="Times New Roman"/>
                <w:b/>
                <w:bCs/>
                <w:kern w:val="0"/>
                <w:sz w:val="24"/>
                <w:szCs w:val="24"/>
                <w:highlight w:val="none"/>
                <w:vertAlign w:val="superscript"/>
              </w:rPr>
              <w:t>3</w:t>
            </w:r>
            <w:r>
              <w:rPr>
                <w:rFonts w:hint="eastAsia" w:ascii="Times New Roman" w:hAnsi="Times New Roman"/>
                <w:b/>
                <w:bCs/>
                <w:kern w:val="0"/>
                <w:sz w:val="24"/>
                <w:szCs w:val="24"/>
                <w:highlight w:val="none"/>
              </w:rPr>
              <w:t>/a）</w:t>
            </w:r>
          </w:p>
          <w:p>
            <w:pPr>
              <w:pStyle w:val="30"/>
              <w:spacing w:line="240" w:lineRule="auto"/>
              <w:ind w:left="0" w:leftChars="0" w:firstLine="0" w:firstLineChars="0"/>
              <w:jc w:val="center"/>
              <w:rPr>
                <w:rFonts w:hint="eastAsia" w:ascii="Times New Roman" w:hAnsi="Times New Roman"/>
                <w:b/>
                <w:bCs/>
                <w:kern w:val="0"/>
                <w:sz w:val="24"/>
                <w:szCs w:val="24"/>
                <w:highlight w:val="none"/>
              </w:rPr>
            </w:pPr>
          </w:p>
          <w:p>
            <w:pPr>
              <w:pStyle w:val="30"/>
              <w:spacing w:line="240" w:lineRule="auto"/>
              <w:ind w:left="0" w:leftChars="0" w:firstLine="0" w:firstLineChars="0"/>
              <w:jc w:val="center"/>
              <w:rPr>
                <w:rFonts w:hint="eastAsia" w:ascii="Times New Roman" w:hAnsi="Times New Roman"/>
                <w:b/>
                <w:bCs/>
                <w:kern w:val="0"/>
                <w:sz w:val="24"/>
                <w:szCs w:val="24"/>
                <w:highlight w:val="none"/>
              </w:rPr>
            </w:pPr>
          </w:p>
          <w:p>
            <w:pPr>
              <w:pStyle w:val="30"/>
              <w:spacing w:line="240" w:lineRule="auto"/>
              <w:ind w:left="0" w:leftChars="0" w:firstLine="0" w:firstLineChars="0"/>
              <w:jc w:val="center"/>
              <w:rPr>
                <w:rFonts w:hint="eastAsia" w:ascii="Times New Roman" w:hAnsi="Times New Roman"/>
                <w:b/>
                <w:bCs/>
                <w:kern w:val="0"/>
                <w:sz w:val="24"/>
                <w:szCs w:val="24"/>
                <w:highlight w:val="none"/>
              </w:rPr>
            </w:pPr>
          </w:p>
          <w:p>
            <w:pPr>
              <w:pStyle w:val="30"/>
              <w:spacing w:line="240" w:lineRule="auto"/>
              <w:ind w:left="0" w:leftChars="0" w:firstLine="0" w:firstLineChars="0"/>
              <w:jc w:val="center"/>
              <w:rPr>
                <w:rFonts w:hint="eastAsia" w:ascii="Times New Roman" w:hAnsi="Times New Roman"/>
                <w:b/>
                <w:bCs/>
                <w:kern w:val="0"/>
                <w:sz w:val="24"/>
                <w:szCs w:val="24"/>
                <w:highlight w:val="none"/>
              </w:rPr>
            </w:pPr>
          </w:p>
          <w:p>
            <w:pPr>
              <w:pStyle w:val="30"/>
              <w:spacing w:line="240" w:lineRule="auto"/>
              <w:ind w:left="0" w:leftChars="0" w:firstLine="0" w:firstLineChars="0"/>
              <w:jc w:val="center"/>
              <w:rPr>
                <w:rFonts w:hint="eastAsia" w:ascii="Times New Roman" w:hAnsi="Times New Roman"/>
                <w:b/>
                <w:bCs/>
                <w:kern w:val="0"/>
                <w:sz w:val="24"/>
                <w:szCs w:val="24"/>
                <w:highlight w:val="none"/>
              </w:rPr>
            </w:pPr>
          </w:p>
          <w:p>
            <w:pPr>
              <w:pStyle w:val="30"/>
              <w:spacing w:line="240" w:lineRule="auto"/>
              <w:ind w:left="0" w:leftChars="0" w:firstLine="0" w:firstLineChars="0"/>
              <w:jc w:val="center"/>
              <w:rPr>
                <w:rFonts w:hint="eastAsia" w:ascii="Times New Roman" w:hAnsi="Times New Roman"/>
                <w:b/>
                <w:bCs/>
                <w:kern w:val="0"/>
                <w:sz w:val="24"/>
                <w:szCs w:val="24"/>
                <w:highlight w:val="none"/>
              </w:rPr>
            </w:pPr>
          </w:p>
          <w:p>
            <w:pPr>
              <w:pStyle w:val="30"/>
              <w:spacing w:line="240" w:lineRule="auto"/>
              <w:ind w:left="0" w:leftChars="0" w:firstLine="0" w:firstLineChars="0"/>
              <w:jc w:val="center"/>
              <w:rPr>
                <w:rFonts w:hint="eastAsia" w:ascii="Times New Roman" w:hAnsi="Times New Roman"/>
                <w:b/>
                <w:bCs/>
                <w:kern w:val="0"/>
                <w:sz w:val="24"/>
                <w:szCs w:val="24"/>
                <w:highlight w:val="none"/>
              </w:rPr>
            </w:pPr>
          </w:p>
          <w:p>
            <w:pPr>
              <w:pStyle w:val="30"/>
              <w:spacing w:line="240" w:lineRule="auto"/>
              <w:ind w:left="0" w:leftChars="0" w:firstLine="0" w:firstLineChars="0"/>
              <w:jc w:val="center"/>
              <w:rPr>
                <w:rFonts w:hint="eastAsia" w:ascii="Times New Roman" w:hAnsi="Times New Roman"/>
                <w:b/>
                <w:bCs/>
                <w:kern w:val="0"/>
                <w:sz w:val="24"/>
                <w:szCs w:val="24"/>
                <w:highlight w:val="none"/>
              </w:rPr>
            </w:pPr>
          </w:p>
          <w:p>
            <w:pPr>
              <w:pStyle w:val="30"/>
              <w:spacing w:line="240" w:lineRule="auto"/>
              <w:ind w:left="0" w:leftChars="0" w:firstLine="0" w:firstLineChars="0"/>
              <w:jc w:val="both"/>
              <w:rPr>
                <w:rFonts w:hint="eastAsia" w:ascii="Times New Roman" w:hAnsi="Times New Roman"/>
                <w:b/>
                <w:bCs/>
                <w:kern w:val="0"/>
                <w:sz w:val="24"/>
                <w:szCs w:val="24"/>
                <w:highlight w:val="none"/>
              </w:rPr>
            </w:pPr>
          </w:p>
          <w:p>
            <w:pPr>
              <w:pStyle w:val="30"/>
              <w:ind w:left="0" w:leftChars="0" w:firstLine="0" w:firstLineChars="0"/>
              <w:jc w:val="center"/>
              <w:rPr>
                <w:rFonts w:hint="eastAsia" w:ascii="Times New Roman" w:hAnsi="Times New Roman"/>
                <w:b/>
                <w:bCs/>
                <w:kern w:val="0"/>
                <w:sz w:val="21"/>
                <w:szCs w:val="21"/>
                <w:highlight w:val="none"/>
              </w:rPr>
            </w:pPr>
            <w:r>
              <w:rPr>
                <w:rFonts w:hint="eastAsia" w:ascii="Times New Roman" w:hAnsi="Times New Roman"/>
                <w:b/>
                <w:bCs/>
                <w:kern w:val="0"/>
                <w:sz w:val="21"/>
                <w:szCs w:val="21"/>
                <w:highlight w:val="none"/>
              </w:rPr>
              <w:object>
                <v:shape id="_x0000_i1026" o:spt="75" type="#_x0000_t75" style="height:308.7pt;width:389.2pt;" o:ole="t" filled="f" stroked="f" coordsize="21600,21600">
                  <v:path/>
                  <v:fill on="f" focussize="0,0"/>
                  <v:stroke on="f"/>
                  <v:imagedata r:id="rId14" embosscolor="#FFFFFF" o:title=""/>
                  <o:lock v:ext="edit" aspectratio="t"/>
                  <w10:wrap type="none"/>
                  <w10:anchorlock/>
                </v:shape>
                <o:OLEObject Type="Embed" ProgID="Visio.Drawing.15" ShapeID="_x0000_i1026" DrawAspect="Content" ObjectID="_1468075726" r:id="rId13">
                  <o:LockedField>false</o:LockedField>
                </o:OLEObject>
              </w:object>
            </w:r>
          </w:p>
          <w:p>
            <w:pPr>
              <w:pStyle w:val="30"/>
              <w:spacing w:line="240" w:lineRule="auto"/>
              <w:ind w:left="0" w:leftChars="0" w:firstLine="0" w:firstLineChars="0"/>
              <w:jc w:val="center"/>
              <w:rPr>
                <w:rFonts w:hint="eastAsia" w:ascii="Times New Roman" w:hAnsi="Times New Roman"/>
                <w:b/>
                <w:bCs/>
                <w:kern w:val="0"/>
                <w:sz w:val="24"/>
                <w:szCs w:val="24"/>
                <w:highlight w:val="none"/>
              </w:rPr>
            </w:pPr>
            <w:r>
              <w:rPr>
                <w:rFonts w:ascii="Times New Roman" w:hAnsi="Times New Roman"/>
                <w:b/>
                <w:bCs/>
                <w:kern w:val="0"/>
                <w:sz w:val="24"/>
                <w:szCs w:val="24"/>
                <w:highlight w:val="none"/>
              </w:rPr>
              <w:t>图</w:t>
            </w:r>
            <w:r>
              <w:rPr>
                <w:rFonts w:hint="eastAsia" w:ascii="Times New Roman" w:hAnsi="Times New Roman"/>
                <w:b/>
                <w:bCs/>
                <w:kern w:val="0"/>
                <w:sz w:val="24"/>
                <w:szCs w:val="24"/>
                <w:highlight w:val="none"/>
                <w:lang w:val="en-US" w:eastAsia="zh-CN"/>
              </w:rPr>
              <w:t>5</w:t>
            </w:r>
            <w:r>
              <w:rPr>
                <w:rFonts w:ascii="Times New Roman" w:hAnsi="Times New Roman"/>
                <w:b/>
                <w:bCs/>
                <w:kern w:val="0"/>
                <w:sz w:val="24"/>
                <w:szCs w:val="24"/>
                <w:highlight w:val="none"/>
              </w:rPr>
              <w:t xml:space="preserve">  </w:t>
            </w:r>
            <w:r>
              <w:rPr>
                <w:rFonts w:hint="eastAsia" w:ascii="Times New Roman" w:hAnsi="Times New Roman"/>
                <w:b/>
                <w:bCs/>
                <w:kern w:val="0"/>
                <w:sz w:val="24"/>
                <w:szCs w:val="24"/>
                <w:highlight w:val="none"/>
                <w:lang w:val="en-US" w:eastAsia="zh-CN"/>
              </w:rPr>
              <w:t>全厂</w:t>
            </w:r>
            <w:r>
              <w:rPr>
                <w:rFonts w:ascii="Times New Roman" w:hAnsi="Times New Roman"/>
                <w:b/>
                <w:bCs/>
                <w:kern w:val="0"/>
                <w:sz w:val="24"/>
                <w:szCs w:val="24"/>
                <w:highlight w:val="none"/>
              </w:rPr>
              <w:t>水平衡图</w:t>
            </w:r>
            <w:r>
              <w:rPr>
                <w:rFonts w:hint="eastAsia" w:ascii="Times New Roman" w:hAnsi="Times New Roman"/>
                <w:b/>
                <w:bCs/>
                <w:kern w:val="0"/>
                <w:sz w:val="24"/>
                <w:szCs w:val="24"/>
                <w:highlight w:val="none"/>
              </w:rPr>
              <w:t>（单位：m</w:t>
            </w:r>
            <w:r>
              <w:rPr>
                <w:rFonts w:hint="eastAsia" w:ascii="Times New Roman" w:hAnsi="Times New Roman"/>
                <w:b/>
                <w:bCs/>
                <w:kern w:val="0"/>
                <w:sz w:val="24"/>
                <w:szCs w:val="24"/>
                <w:highlight w:val="none"/>
                <w:vertAlign w:val="superscript"/>
              </w:rPr>
              <w:t>3</w:t>
            </w:r>
            <w:r>
              <w:rPr>
                <w:rFonts w:hint="eastAsia" w:ascii="Times New Roman" w:hAnsi="Times New Roman"/>
                <w:b/>
                <w:bCs/>
                <w:kern w:val="0"/>
                <w:sz w:val="24"/>
                <w:szCs w:val="24"/>
                <w:highlight w:val="none"/>
              </w:rPr>
              <w:t>/a）</w:t>
            </w:r>
          </w:p>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3.</w:t>
            </w:r>
            <w:r>
              <w:rPr>
                <w:rFonts w:hint="eastAsia" w:cs="Times New Roman"/>
                <w:b/>
                <w:bCs/>
                <w:color w:val="auto"/>
                <w:sz w:val="24"/>
                <w:szCs w:val="24"/>
                <w:lang w:val="en-US" w:eastAsia="zh-CN"/>
              </w:rPr>
              <w:t>5</w:t>
            </w:r>
            <w:r>
              <w:rPr>
                <w:rFonts w:hint="default" w:ascii="Times New Roman" w:hAnsi="Times New Roman" w:cs="Times New Roman"/>
                <w:b/>
                <w:bCs/>
                <w:color w:val="auto"/>
                <w:sz w:val="24"/>
                <w:szCs w:val="24"/>
                <w:lang w:eastAsia="zh-CN"/>
              </w:rPr>
              <w:t xml:space="preserve"> 生产工艺</w:t>
            </w:r>
          </w:p>
          <w:p>
            <w:pPr>
              <w:pStyle w:val="30"/>
              <w:numPr>
                <w:ilvl w:val="0"/>
                <w:numId w:val="0"/>
              </w:numPr>
              <w:ind w:firstLine="480" w:firstLineChars="200"/>
              <w:rPr>
                <w:rFonts w:hint="eastAsia" w:ascii="Times New Roman" w:hAnsi="Times New Roman"/>
                <w:kern w:val="0"/>
                <w:sz w:val="24"/>
                <w:szCs w:val="24"/>
                <w:highlight w:val="none"/>
              </w:rPr>
            </w:pPr>
            <w:r>
              <w:rPr>
                <w:rFonts w:hint="eastAsia" w:ascii="Times New Roman" w:hAnsi="Times New Roman"/>
                <w:kern w:val="0"/>
                <w:sz w:val="24"/>
                <w:szCs w:val="24"/>
                <w:highlight w:val="none"/>
              </w:rPr>
              <w:t>拟建项目</w:t>
            </w:r>
            <w:r>
              <w:rPr>
                <w:rFonts w:hint="eastAsia" w:ascii="Times New Roman" w:hAnsi="Times New Roman"/>
                <w:kern w:val="0"/>
                <w:sz w:val="24"/>
                <w:szCs w:val="24"/>
                <w:highlight w:val="none"/>
                <w:lang w:val="en-US" w:eastAsia="zh-CN"/>
              </w:rPr>
              <w:t>生产</w:t>
            </w:r>
            <w:r>
              <w:rPr>
                <w:rFonts w:hint="eastAsia" w:ascii="Times New Roman" w:hAnsi="Times New Roman"/>
                <w:kern w:val="0"/>
                <w:sz w:val="24"/>
                <w:szCs w:val="24"/>
                <w:highlight w:val="none"/>
              </w:rPr>
              <w:t>工艺主要分为两部分，第一部分</w:t>
            </w:r>
            <w:r>
              <w:rPr>
                <w:rFonts w:hint="eastAsia" w:ascii="Times New Roman" w:hAnsi="Times New Roman"/>
                <w:kern w:val="0"/>
                <w:sz w:val="24"/>
                <w:szCs w:val="24"/>
                <w:highlight w:val="none"/>
                <w:lang w:val="en-US" w:eastAsia="zh-CN"/>
              </w:rPr>
              <w:t>为预灌封注射器/预充式导管生产工艺流程生产工艺（预灌封注射器/预充式导管工艺原理相似，所以一并分析）</w:t>
            </w:r>
            <w:r>
              <w:rPr>
                <w:rFonts w:hint="eastAsia" w:ascii="Times New Roman" w:hAnsi="Times New Roman"/>
                <w:kern w:val="0"/>
                <w:sz w:val="24"/>
                <w:szCs w:val="24"/>
                <w:highlight w:val="none"/>
              </w:rPr>
              <w:t>，第二部分为</w:t>
            </w:r>
            <w:r>
              <w:rPr>
                <w:rFonts w:hint="eastAsia" w:ascii="Times New Roman" w:hAnsi="Times New Roman"/>
                <w:kern w:val="0"/>
                <w:sz w:val="24"/>
                <w:szCs w:val="24"/>
                <w:highlight w:val="none"/>
                <w:lang w:val="en-US" w:eastAsia="zh-CN"/>
              </w:rPr>
              <w:t>西林瓶生产工艺</w:t>
            </w:r>
            <w:r>
              <w:rPr>
                <w:rFonts w:hint="eastAsia" w:ascii="Times New Roman" w:hAnsi="Times New Roman"/>
                <w:kern w:val="0"/>
                <w:sz w:val="24"/>
                <w:szCs w:val="24"/>
                <w:highlight w:val="none"/>
              </w:rPr>
              <w:t>。</w:t>
            </w:r>
          </w:p>
          <w:p>
            <w:pPr>
              <w:pStyle w:val="30"/>
              <w:numPr>
                <w:ilvl w:val="0"/>
                <w:numId w:val="4"/>
              </w:numPr>
              <w:rPr>
                <w:rFonts w:hint="eastAsia" w:ascii="Times New Roman" w:hAnsi="Times New Roman"/>
                <w:kern w:val="0"/>
                <w:sz w:val="24"/>
                <w:szCs w:val="24"/>
                <w:highlight w:val="none"/>
                <w:lang w:val="en-US" w:eastAsia="zh-CN"/>
              </w:rPr>
            </w:pPr>
            <w:r>
              <w:rPr>
                <w:rFonts w:hint="eastAsia" w:ascii="Times New Roman" w:hAnsi="Times New Roman"/>
                <w:kern w:val="0"/>
                <w:sz w:val="24"/>
                <w:szCs w:val="24"/>
                <w:highlight w:val="none"/>
                <w:lang w:val="en-US" w:eastAsia="zh-CN"/>
              </w:rPr>
              <w:t>预灌封注射器/预充式导管生产工艺</w:t>
            </w:r>
          </w:p>
          <w:p>
            <w:pPr>
              <w:pStyle w:val="30"/>
              <w:numPr>
                <w:ilvl w:val="0"/>
                <w:numId w:val="0"/>
              </w:numPr>
              <w:jc w:val="center"/>
              <w:rPr>
                <w:rFonts w:hint="eastAsia" w:ascii="Times New Roman" w:hAnsi="Times New Roman"/>
                <w:kern w:val="0"/>
                <w:sz w:val="21"/>
                <w:szCs w:val="21"/>
                <w:highlight w:val="none"/>
                <w:lang w:val="en-US" w:eastAsia="zh-CN"/>
              </w:rPr>
            </w:pPr>
            <w:r>
              <w:rPr>
                <w:rFonts w:hint="eastAsia" w:ascii="Times New Roman" w:hAnsi="Times New Roman"/>
                <w:kern w:val="0"/>
                <w:sz w:val="21"/>
                <w:szCs w:val="21"/>
                <w:highlight w:val="none"/>
                <w:lang w:val="en-US" w:eastAsia="zh-CN"/>
              </w:rPr>
              <w:object>
                <v:shape id="_x0000_i1027" o:spt="75" type="#_x0000_t75" style="height:87.7pt;width:389.25pt;" o:ole="t" filled="f" stroked="f" coordsize="21600,21600">
                  <v:path/>
                  <v:fill on="f" focussize="0,0"/>
                  <v:stroke on="f"/>
                  <v:imagedata r:id="rId16" embosscolor="#FFFFFF" o:title=""/>
                  <o:lock v:ext="edit" aspectratio="t"/>
                  <w10:wrap type="none"/>
                  <w10:anchorlock/>
                </v:shape>
                <o:OLEObject Type="Embed" ProgID="Visio.Drawing.15" ShapeID="_x0000_i1027" DrawAspect="Content" ObjectID="_1468075727" r:id="rId15">
                  <o:LockedField>false</o:LockedField>
                </o:OLEObject>
              </w:object>
            </w:r>
          </w:p>
          <w:p>
            <w:pPr>
              <w:pStyle w:val="30"/>
              <w:numPr>
                <w:ilvl w:val="0"/>
                <w:numId w:val="0"/>
              </w:numPr>
              <w:jc w:val="center"/>
              <w:rPr>
                <w:rFonts w:hint="default" w:ascii="Times New Roman" w:hAnsi="Times New Roman"/>
                <w:b/>
                <w:bCs/>
                <w:kern w:val="0"/>
                <w:sz w:val="24"/>
                <w:szCs w:val="24"/>
                <w:highlight w:val="none"/>
                <w:lang w:val="en-US" w:eastAsia="zh-CN"/>
              </w:rPr>
            </w:pPr>
            <w:r>
              <w:rPr>
                <w:rFonts w:hint="eastAsia" w:ascii="Times New Roman" w:hAnsi="Times New Roman"/>
                <w:b/>
                <w:bCs/>
                <w:kern w:val="0"/>
                <w:sz w:val="24"/>
                <w:szCs w:val="24"/>
                <w:highlight w:val="none"/>
                <w:lang w:val="en-US" w:eastAsia="zh-CN"/>
              </w:rPr>
              <w:t>图6  预灌封注射器/预充式导管生产工艺流程及产污环节图</w:t>
            </w:r>
          </w:p>
          <w:p>
            <w:pPr>
              <w:pStyle w:val="30"/>
              <w:numPr>
                <w:ilvl w:val="0"/>
                <w:numId w:val="0"/>
              </w:numPr>
              <w:ind w:firstLine="480" w:firstLineChars="20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工艺流程简述</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①除湿充氮：通过输送一体式光学干燥机对原料（聚丙烯、COP、K胶）进行充分的除湿、充氮（隔绝氧气）；除湿充氮过程为全密闭，聚丙烯、COP、K胶均为颗粒状，</w:t>
            </w:r>
            <w:r>
              <w:rPr>
                <w:rFonts w:hint="eastAsia" w:ascii="Times New Roman" w:hAnsi="Times New Roman" w:eastAsia="宋体" w:cs="Times New Roman"/>
                <w:color w:val="000000"/>
                <w:kern w:val="0"/>
                <w:sz w:val="24"/>
                <w:szCs w:val="24"/>
                <w:highlight w:val="none"/>
                <w:lang w:val="en-US" w:eastAsia="zh-CN"/>
              </w:rPr>
              <w:t>除湿充氮过程无颗粒物等废气产生、有噪声产生。</w:t>
            </w:r>
          </w:p>
          <w:p>
            <w:pPr>
              <w:pStyle w:val="30"/>
              <w:numPr>
                <w:ilvl w:val="0"/>
                <w:numId w:val="0"/>
              </w:numPr>
              <w:ind w:firstLine="480" w:firstLineChars="200"/>
              <w:jc w:val="both"/>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②注塑：除湿充氮后的物料按不同比例通过管道投入注塑机料斗，通过螺杆的转动将原料输送至机筒的前端，之后加热器将对筒内的原料进行加热，加热采用电加热，加热温度为 290℃左右，使原料成为熔融状态；计量后的熔融塑料滞留于机筒前端，螺杆不断向前将塑料原料射入模腔，自动形成模具对应的注塑产品。注塑过程会产生注塑废气（注塑废气成分复杂，以VOCs计）、噪声、边角料（废塑料）。</w:t>
            </w:r>
          </w:p>
          <w:p>
            <w:pPr>
              <w:pStyle w:val="30"/>
              <w:numPr>
                <w:ilvl w:val="0"/>
                <w:numId w:val="0"/>
              </w:numPr>
              <w:ind w:firstLine="480" w:firstLineChars="200"/>
              <w:jc w:val="both"/>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③组装检测：操作人员将注塑成型的产品与外购的护帽等放入组装检测一体机中进行组装检测，该工序会产生少量不合格的品（废塑料）、噪声。</w:t>
            </w:r>
          </w:p>
          <w:p>
            <w:pPr>
              <w:pStyle w:val="30"/>
              <w:numPr>
                <w:ilvl w:val="0"/>
                <w:numId w:val="0"/>
              </w:numPr>
              <w:ind w:firstLine="480" w:firstLineChars="200"/>
              <w:jc w:val="both"/>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④</w:t>
            </w:r>
            <w:r>
              <w:rPr>
                <w:rFonts w:hint="eastAsia" w:ascii="Times New Roman" w:hAnsi="Times New Roman" w:eastAsia="宋体" w:cs="Times New Roman"/>
                <w:kern w:val="0"/>
                <w:sz w:val="24"/>
                <w:szCs w:val="24"/>
                <w:highlight w:val="none"/>
                <w:lang w:val="en-US" w:eastAsia="zh-CN"/>
              </w:rPr>
              <w:t>包装：操作人员将组装后的产品放入呼吸袋，人工包装后装箱入库。</w:t>
            </w:r>
          </w:p>
          <w:p>
            <w:pPr>
              <w:pStyle w:val="30"/>
              <w:numPr>
                <w:ilvl w:val="0"/>
                <w:numId w:val="0"/>
              </w:numPr>
              <w:ind w:firstLine="480" w:firstLineChars="200"/>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（2）西林瓶生产工艺流程</w:t>
            </w:r>
          </w:p>
          <w:p>
            <w:pPr>
              <w:pStyle w:val="30"/>
              <w:jc w:val="center"/>
              <w:rPr>
                <w:rFonts w:hint="eastAsia" w:ascii="Times New Roman" w:hAnsi="Times New Roman"/>
                <w:kern w:val="0"/>
                <w:sz w:val="21"/>
                <w:szCs w:val="21"/>
                <w:highlight w:val="none"/>
              </w:rPr>
            </w:pPr>
            <w:r>
              <w:rPr>
                <w:rFonts w:hint="eastAsia" w:ascii="Times New Roman" w:hAnsi="Times New Roman"/>
                <w:kern w:val="0"/>
                <w:sz w:val="21"/>
                <w:szCs w:val="21"/>
                <w:highlight w:val="none"/>
              </w:rPr>
              <w:object>
                <v:shape id="_x0000_i1028" o:spt="75" type="#_x0000_t75" style="height:87.35pt;width:266.95pt;" o:ole="t" filled="f" stroked="f" coordsize="21600,21600">
                  <v:path/>
                  <v:fill on="f" focussize="0,0"/>
                  <v:stroke on="f"/>
                  <v:imagedata r:id="rId18" embosscolor="#FFFFFF" o:title=""/>
                  <o:lock v:ext="edit" aspectratio="t"/>
                  <w10:wrap type="none"/>
                  <w10:anchorlock/>
                </v:shape>
                <o:OLEObject Type="Embed" ProgID="Visio.Drawing.15" ShapeID="_x0000_i1028" DrawAspect="Content" ObjectID="_1468075728" r:id="rId17">
                  <o:LockedField>false</o:LockedField>
                </o:OLEObject>
              </w:object>
            </w:r>
          </w:p>
          <w:p>
            <w:pPr>
              <w:pStyle w:val="30"/>
              <w:ind w:left="0" w:leftChars="0" w:firstLine="0" w:firstLineChars="0"/>
              <w:jc w:val="center"/>
              <w:rPr>
                <w:rFonts w:hint="default" w:ascii="Times New Roman" w:hAnsi="Times New Roman"/>
                <w:kern w:val="0"/>
                <w:sz w:val="24"/>
                <w:szCs w:val="24"/>
                <w:highlight w:val="none"/>
                <w:lang w:val="en-US" w:eastAsia="zh-CN"/>
              </w:rPr>
            </w:pPr>
            <w:r>
              <w:rPr>
                <w:rFonts w:hint="eastAsia" w:ascii="Times New Roman" w:hAnsi="Times New Roman"/>
                <w:b/>
                <w:bCs/>
                <w:kern w:val="0"/>
                <w:sz w:val="24"/>
                <w:szCs w:val="24"/>
                <w:highlight w:val="none"/>
                <w:lang w:val="en-US" w:eastAsia="zh-CN"/>
              </w:rPr>
              <w:t>图4  西林瓶生产工艺流程及产污环节图</w:t>
            </w:r>
          </w:p>
          <w:p>
            <w:pPr>
              <w:pStyle w:val="30"/>
              <w:ind w:left="0" w:leftChars="0" w:firstLine="480" w:firstLineChars="200"/>
              <w:rPr>
                <w:rFonts w:hint="eastAsia" w:ascii="Times New Roman" w:hAnsi="Times New Roman"/>
                <w:kern w:val="0"/>
                <w:sz w:val="24"/>
                <w:szCs w:val="24"/>
                <w:highlight w:val="none"/>
                <w:lang w:val="en-US" w:eastAsia="zh-CN"/>
              </w:rPr>
            </w:pPr>
            <w:r>
              <w:rPr>
                <w:rFonts w:hint="eastAsia" w:ascii="Times New Roman" w:hAnsi="Times New Roman"/>
                <w:kern w:val="0"/>
                <w:sz w:val="24"/>
                <w:szCs w:val="24"/>
                <w:highlight w:val="none"/>
                <w:lang w:val="en-US" w:eastAsia="zh-CN"/>
              </w:rPr>
              <w:t>工艺流程简述</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①除湿充氮：通过输送一体式光学干燥机对原料（COP）进行充分的除湿、充氮（隔绝氧气）；除湿充氮过程为全密闭，COP为颗粒状，</w:t>
            </w:r>
            <w:r>
              <w:rPr>
                <w:rFonts w:hint="eastAsia" w:ascii="Times New Roman" w:hAnsi="Times New Roman" w:eastAsia="宋体" w:cs="Times New Roman"/>
                <w:color w:val="000000"/>
                <w:kern w:val="0"/>
                <w:sz w:val="24"/>
                <w:szCs w:val="24"/>
                <w:highlight w:val="none"/>
                <w:lang w:val="en-US" w:eastAsia="zh-CN"/>
              </w:rPr>
              <w:t>除湿充氮过程无颗粒物等废气产生、有噪声产生。</w:t>
            </w:r>
          </w:p>
          <w:p>
            <w:pPr>
              <w:pStyle w:val="30"/>
              <w:spacing w:line="360" w:lineRule="auto"/>
              <w:ind w:left="0" w:leftChars="0" w:firstLine="480" w:firstLineChars="200"/>
              <w:jc w:val="both"/>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②吹拉一体成型：除湿充氮后的物料经进料口进入注拉吹一体吹瓶机，吹瓶机采用电加热，温度在300℃左右，熔融过程位于密闭的加热料管内；熔融后的物料进入吹瓶机适配的产品模具，经吹胀形成与模具对应形状的产品，冷却成型得到产品，经过排队后输出进入包装工序。吹塑过程产生吹塑废气（吹塑废气成分复杂，以VOCs计）、噪声、少量边角料（废塑料）。</w:t>
            </w:r>
          </w:p>
          <w:p>
            <w:pPr>
              <w:pStyle w:val="30"/>
              <w:spacing w:line="360" w:lineRule="auto"/>
              <w:ind w:left="0" w:leftChars="0" w:firstLine="480" w:firstLineChars="200"/>
              <w:jc w:val="both"/>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③包装：操作人员将吹拉成型的产品包装入库。</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3.</w:t>
            </w:r>
            <w:r>
              <w:rPr>
                <w:rFonts w:hint="eastAsia" w:cs="Times New Roman"/>
                <w:b/>
                <w:bCs/>
                <w:color w:val="auto"/>
                <w:sz w:val="24"/>
                <w:szCs w:val="24"/>
                <w:lang w:val="en-US" w:eastAsia="zh-CN"/>
              </w:rPr>
              <w:t>6</w:t>
            </w:r>
            <w:r>
              <w:rPr>
                <w:rFonts w:hint="default" w:ascii="Times New Roman" w:hAnsi="Times New Roman" w:cs="Times New Roman"/>
                <w:b/>
                <w:bCs/>
                <w:color w:val="auto"/>
                <w:sz w:val="24"/>
                <w:szCs w:val="24"/>
                <w:lang w:eastAsia="zh-CN"/>
              </w:rPr>
              <w:t xml:space="preserve"> 项目主要生产设备</w:t>
            </w:r>
          </w:p>
          <w:p>
            <w:pPr>
              <w:pStyle w:val="7"/>
              <w:spacing w:line="360" w:lineRule="auto"/>
              <w:ind w:firstLine="480" w:firstLineChars="200"/>
              <w:jc w:val="both"/>
              <w:rPr>
                <w:rFonts w:hint="default" w:ascii="Times New Roman" w:hAnsi="Times New Roman" w:cs="Times New Roman"/>
                <w:color w:val="auto"/>
                <w:lang w:eastAsia="zh-CN"/>
              </w:rPr>
            </w:pPr>
            <w:r>
              <w:rPr>
                <w:rFonts w:hint="eastAsia" w:ascii="Times New Roman" w:hAnsi="Times New Roman" w:cs="Times New Roman"/>
                <w:color w:val="auto"/>
                <w:lang w:val="en-US" w:eastAsia="zh-CN"/>
              </w:rPr>
              <w:t>验收</w:t>
            </w:r>
            <w:r>
              <w:rPr>
                <w:rFonts w:hint="default" w:ascii="Times New Roman" w:hAnsi="Times New Roman" w:cs="Times New Roman"/>
                <w:color w:val="auto"/>
                <w:lang w:eastAsia="zh-CN"/>
              </w:rPr>
              <w:t>项目</w:t>
            </w:r>
            <w:r>
              <w:rPr>
                <w:rFonts w:hint="eastAsia" w:ascii="Times New Roman" w:hAnsi="Times New Roman" w:cs="Times New Roman"/>
                <w:color w:val="auto"/>
                <w:lang w:val="en-US" w:eastAsia="zh-CN"/>
              </w:rPr>
              <w:t>新增</w:t>
            </w:r>
            <w:r>
              <w:rPr>
                <w:rFonts w:hint="default" w:ascii="Times New Roman" w:hAnsi="Times New Roman" w:cs="Times New Roman"/>
                <w:color w:val="auto"/>
                <w:lang w:eastAsia="zh-CN"/>
              </w:rPr>
              <w:t>生产设备与环评对比情况，见表3</w:t>
            </w:r>
            <w:r>
              <w:rPr>
                <w:rFonts w:hint="eastAsia" w:ascii="Times New Roman" w:hAnsi="Times New Roman" w:cs="Times New Roman"/>
                <w:color w:val="auto"/>
                <w:lang w:val="en-US" w:eastAsia="zh-CN"/>
              </w:rPr>
              <w:t>-3</w:t>
            </w:r>
            <w:r>
              <w:rPr>
                <w:rFonts w:hint="default" w:ascii="Times New Roman" w:hAnsi="Times New Roman" w:cs="Times New Roman"/>
                <w:color w:val="auto"/>
                <w:lang w:eastAsia="zh-CN"/>
              </w:rPr>
              <w:t>。</w:t>
            </w:r>
          </w:p>
          <w:p>
            <w:pPr>
              <w:pStyle w:val="7"/>
              <w:spacing w:line="240" w:lineRule="auto"/>
              <w:jc w:val="center"/>
              <w:rPr>
                <w:rFonts w:hint="eastAsia" w:ascii="Times New Roman" w:hAnsi="Times New Roman" w:cs="Times New Roman"/>
                <w:b/>
                <w:bCs/>
                <w:color w:val="auto"/>
                <w:lang w:val="en-US" w:eastAsia="zh-CN"/>
              </w:rPr>
            </w:pPr>
            <w:r>
              <w:rPr>
                <w:rFonts w:hint="default" w:ascii="Times New Roman" w:hAnsi="Times New Roman" w:cs="Times New Roman"/>
                <w:b/>
                <w:bCs/>
                <w:color w:val="auto"/>
                <w:lang w:eastAsia="zh-CN"/>
              </w:rPr>
              <w:t>表3</w:t>
            </w:r>
            <w:r>
              <w:rPr>
                <w:rFonts w:hint="eastAsia" w:ascii="Times New Roman" w:hAnsi="Times New Roman" w:cs="Times New Roman"/>
                <w:b/>
                <w:bCs/>
                <w:color w:val="auto"/>
                <w:lang w:val="en-US" w:eastAsia="zh-CN"/>
              </w:rPr>
              <w:t>-3</w:t>
            </w:r>
            <w:r>
              <w:rPr>
                <w:rFonts w:hint="default" w:ascii="Times New Roman" w:hAnsi="Times New Roman" w:cs="Times New Roman"/>
                <w:b/>
                <w:bCs/>
                <w:color w:val="auto"/>
                <w:lang w:eastAsia="zh-CN"/>
              </w:rPr>
              <w:t xml:space="preserve">  </w:t>
            </w:r>
            <w:r>
              <w:rPr>
                <w:rFonts w:hint="eastAsia" w:ascii="Times New Roman" w:hAnsi="Times New Roman" w:cs="Times New Roman"/>
                <w:b/>
                <w:bCs/>
                <w:color w:val="auto"/>
                <w:lang w:val="en-US" w:eastAsia="zh-CN"/>
              </w:rPr>
              <w:t xml:space="preserve"> 项目主要生产设备一览表</w:t>
            </w:r>
          </w:p>
          <w:tbl>
            <w:tblPr>
              <w:tblStyle w:val="19"/>
              <w:tblW w:w="87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1406"/>
              <w:gridCol w:w="2275"/>
              <w:gridCol w:w="1324"/>
              <w:gridCol w:w="1356"/>
              <w:gridCol w:w="16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tblHeader/>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40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设备名称</w:t>
                  </w:r>
                </w:p>
              </w:tc>
              <w:tc>
                <w:tcPr>
                  <w:tcW w:w="227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规格型号</w:t>
                  </w:r>
                </w:p>
              </w:tc>
              <w:tc>
                <w:tcPr>
                  <w:tcW w:w="132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环评设计</w:t>
                  </w:r>
                  <w:r>
                    <w:rPr>
                      <w:rFonts w:hint="default" w:ascii="Times New Roman" w:hAnsi="Times New Roman" w:cs="Times New Roman"/>
                      <w:b/>
                      <w:bCs/>
                      <w:color w:val="auto"/>
                      <w:sz w:val="21"/>
                      <w:szCs w:val="21"/>
                    </w:rPr>
                    <w:t>数量</w:t>
                  </w:r>
                  <w:r>
                    <w:rPr>
                      <w:rFonts w:hint="eastAsia" w:ascii="Times New Roman" w:hAnsi="Times New Roman" w:cs="Times New Roman"/>
                      <w:b/>
                      <w:bCs/>
                      <w:color w:val="auto"/>
                      <w:sz w:val="21"/>
                      <w:szCs w:val="21"/>
                      <w:lang w:eastAsia="zh-CN"/>
                    </w:rPr>
                    <w:t>（</w:t>
                  </w:r>
                  <w:r>
                    <w:rPr>
                      <w:rFonts w:hint="eastAsia" w:ascii="Times New Roman" w:hAnsi="Times New Roman" w:cs="Times New Roman"/>
                      <w:b/>
                      <w:bCs/>
                      <w:color w:val="auto"/>
                      <w:sz w:val="21"/>
                      <w:szCs w:val="21"/>
                      <w:lang w:val="en-US" w:eastAsia="zh-CN"/>
                    </w:rPr>
                    <w:t>台/套</w:t>
                  </w:r>
                  <w:r>
                    <w:rPr>
                      <w:rFonts w:hint="eastAsia" w:ascii="Times New Roman" w:hAnsi="Times New Roman" w:cs="Times New Roman"/>
                      <w:b/>
                      <w:bCs/>
                      <w:color w:val="auto"/>
                      <w:sz w:val="21"/>
                      <w:szCs w:val="21"/>
                      <w:lang w:eastAsia="zh-CN"/>
                    </w:rPr>
                    <w:t>）</w:t>
                  </w:r>
                </w:p>
              </w:tc>
              <w:tc>
                <w:tcPr>
                  <w:tcW w:w="135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实际数量</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eastAsia="zh-CN"/>
                    </w:rPr>
                    <w:t>（</w:t>
                  </w:r>
                  <w:r>
                    <w:rPr>
                      <w:rFonts w:hint="eastAsia" w:ascii="Times New Roman" w:hAnsi="Times New Roman" w:cs="Times New Roman"/>
                      <w:b/>
                      <w:bCs/>
                      <w:color w:val="auto"/>
                      <w:sz w:val="21"/>
                      <w:szCs w:val="21"/>
                      <w:lang w:val="en-US" w:eastAsia="zh-CN"/>
                    </w:rPr>
                    <w:t>台/套</w:t>
                  </w:r>
                  <w:r>
                    <w:rPr>
                      <w:rFonts w:hint="eastAsia" w:ascii="Times New Roman" w:hAnsi="Times New Roman" w:cs="Times New Roman"/>
                      <w:b/>
                      <w:bCs/>
                      <w:color w:val="auto"/>
                      <w:sz w:val="21"/>
                      <w:szCs w:val="21"/>
                      <w:lang w:eastAsia="zh-CN"/>
                    </w:rPr>
                    <w:t>）</w:t>
                  </w:r>
                </w:p>
              </w:tc>
              <w:tc>
                <w:tcPr>
                  <w:tcW w:w="167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158" w:firstLineChars="75"/>
                    <w:jc w:val="center"/>
                    <w:textAlignment w:val="auto"/>
                    <w:outlineLvl w:val="9"/>
                    <w:rPr>
                      <w:rFonts w:hint="eastAsia"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406" w:type="dxa"/>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kern w:val="0"/>
                      <w:sz w:val="21"/>
                      <w:szCs w:val="21"/>
                      <w:highlight w:val="none"/>
                      <w:lang w:val="en-US" w:eastAsia="zh-CN" w:bidi="ar-SA"/>
                    </w:rPr>
                    <w:t>注塑机</w:t>
                  </w:r>
                </w:p>
              </w:tc>
              <w:tc>
                <w:tcPr>
                  <w:tcW w:w="2275" w:type="dxa"/>
                  <w:tcBorders>
                    <w:tl2br w:val="nil"/>
                    <w:tr2bl w:val="nil"/>
                  </w:tcBorders>
                  <w:vAlign w:val="center"/>
                </w:tcPr>
                <w:p>
                  <w:pPr>
                    <w:keepNext w:val="0"/>
                    <w:keepLines w:val="0"/>
                    <w:pageBreakBefore w:val="0"/>
                    <w:kinsoku/>
                    <w:wordWrap/>
                    <w:overflowPunct/>
                    <w:topLinePunct w:val="0"/>
                    <w:bidi w:val="0"/>
                    <w:adjustRightInd/>
                    <w:snapToGrid/>
                    <w:spacing w:line="240" w:lineRule="auto"/>
                    <w:jc w:val="both"/>
                    <w:textAlignment w:val="auto"/>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VE3600III0  1400hPro</w:t>
                  </w:r>
                </w:p>
                <w:p>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C螺杆/65mm</w:t>
                  </w:r>
                </w:p>
              </w:tc>
              <w:tc>
                <w:tcPr>
                  <w:tcW w:w="13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20</w:t>
                  </w:r>
                </w:p>
              </w:tc>
              <w:tc>
                <w:tcPr>
                  <w:tcW w:w="13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20</w:t>
                  </w:r>
                </w:p>
              </w:tc>
              <w:tc>
                <w:tcPr>
                  <w:tcW w:w="1671" w:type="dxa"/>
                  <w:tcBorders>
                    <w:tl2br w:val="nil"/>
                    <w:tr2bl w:val="nil"/>
                  </w:tcBorders>
                  <w:vAlign w:val="center"/>
                </w:tcPr>
                <w:p>
                  <w:pPr>
                    <w:spacing w:line="240" w:lineRule="auto"/>
                    <w:ind w:left="0" w:leftChars="0" w:right="0" w:rightChars="0"/>
                    <w:contextualSpacing/>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406" w:type="dxa"/>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kern w:val="0"/>
                      <w:sz w:val="21"/>
                      <w:szCs w:val="21"/>
                      <w:highlight w:val="none"/>
                      <w:lang w:val="en-US" w:eastAsia="zh-CN" w:bidi="ar-SA"/>
                    </w:rPr>
                    <w:t>注塑机</w:t>
                  </w:r>
                </w:p>
              </w:tc>
              <w:tc>
                <w:tcPr>
                  <w:tcW w:w="2275" w:type="dxa"/>
                  <w:tcBorders>
                    <w:tl2br w:val="nil"/>
                    <w:tr2bl w:val="nil"/>
                  </w:tcBorders>
                  <w:vAlign w:val="center"/>
                </w:tcPr>
                <w:p>
                  <w:pPr>
                    <w:keepNext w:val="0"/>
                    <w:keepLines w:val="0"/>
                    <w:pageBreakBefore w:val="0"/>
                    <w:kinsoku/>
                    <w:wordWrap/>
                    <w:overflowPunct/>
                    <w:topLinePunct w:val="0"/>
                    <w:bidi w:val="0"/>
                    <w:adjustRightInd/>
                    <w:snapToGrid/>
                    <w:spacing w:line="240" w:lineRule="auto"/>
                    <w:jc w:val="both"/>
                    <w:textAlignment w:val="auto"/>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VE3600III0  1700hPro</w:t>
                  </w:r>
                </w:p>
                <w:p>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C螺杆/70mm</w:t>
                  </w:r>
                </w:p>
              </w:tc>
              <w:tc>
                <w:tcPr>
                  <w:tcW w:w="13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6</w:t>
                  </w:r>
                </w:p>
              </w:tc>
              <w:tc>
                <w:tcPr>
                  <w:tcW w:w="13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6</w:t>
                  </w:r>
                </w:p>
              </w:tc>
              <w:tc>
                <w:tcPr>
                  <w:tcW w:w="1671" w:type="dxa"/>
                  <w:tcBorders>
                    <w:tl2br w:val="nil"/>
                    <w:tr2bl w:val="nil"/>
                  </w:tcBorders>
                  <w:vAlign w:val="center"/>
                </w:tcPr>
                <w:p>
                  <w:pPr>
                    <w:spacing w:line="240" w:lineRule="auto"/>
                    <w:ind w:left="0" w:leftChars="0" w:right="0" w:rightChars="0"/>
                    <w:contextualSpacing/>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406" w:type="dxa"/>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kern w:val="0"/>
                      <w:sz w:val="21"/>
                      <w:szCs w:val="21"/>
                      <w:highlight w:val="none"/>
                      <w:lang w:val="en-US" w:eastAsia="zh-CN" w:bidi="ar-SA"/>
                    </w:rPr>
                    <w:t>注塑机</w:t>
                  </w:r>
                </w:p>
              </w:tc>
              <w:tc>
                <w:tcPr>
                  <w:tcW w:w="2275" w:type="dxa"/>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 xml:space="preserve">SE100EV-A </w:t>
                  </w:r>
                </w:p>
                <w:p>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螺杆θ22mm</w:t>
                  </w:r>
                </w:p>
              </w:tc>
              <w:tc>
                <w:tcPr>
                  <w:tcW w:w="13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1</w:t>
                  </w:r>
                </w:p>
              </w:tc>
              <w:tc>
                <w:tcPr>
                  <w:tcW w:w="13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w:t>
                  </w:r>
                </w:p>
              </w:tc>
              <w:tc>
                <w:tcPr>
                  <w:tcW w:w="1671" w:type="dxa"/>
                  <w:tcBorders>
                    <w:tl2br w:val="nil"/>
                    <w:tr2bl w:val="nil"/>
                  </w:tcBorders>
                  <w:vAlign w:val="center"/>
                </w:tcPr>
                <w:p>
                  <w:pPr>
                    <w:spacing w:line="240" w:lineRule="auto"/>
                    <w:ind w:left="0" w:leftChars="0" w:right="0" w:rightChars="0"/>
                    <w:contextualSpacing/>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406" w:type="dxa"/>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kern w:val="0"/>
                      <w:sz w:val="21"/>
                      <w:szCs w:val="21"/>
                      <w:highlight w:val="none"/>
                      <w:lang w:val="en-US" w:eastAsia="zh-CN" w:bidi="ar-SA"/>
                    </w:rPr>
                    <w:t>注塑机</w:t>
                  </w:r>
                </w:p>
              </w:tc>
              <w:tc>
                <w:tcPr>
                  <w:tcW w:w="2275" w:type="dxa"/>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 xml:space="preserve">SE100EV-A </w:t>
                  </w:r>
                </w:p>
                <w:p>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螺杆θ32mm</w:t>
                  </w:r>
                </w:p>
              </w:tc>
              <w:tc>
                <w:tcPr>
                  <w:tcW w:w="13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1</w:t>
                  </w:r>
                </w:p>
              </w:tc>
              <w:tc>
                <w:tcPr>
                  <w:tcW w:w="13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kern w:val="0"/>
                      <w:sz w:val="21"/>
                      <w:szCs w:val="21"/>
                      <w:highlight w:val="none"/>
                      <w:lang w:val="en-US" w:eastAsia="zh-CN" w:bidi="ar-SA"/>
                    </w:rPr>
                    <w:t>1</w:t>
                  </w:r>
                </w:p>
              </w:tc>
              <w:tc>
                <w:tcPr>
                  <w:tcW w:w="1671" w:type="dxa"/>
                  <w:tcBorders>
                    <w:tl2br w:val="nil"/>
                    <w:tr2bl w:val="nil"/>
                  </w:tcBorders>
                  <w:vAlign w:val="center"/>
                </w:tcPr>
                <w:p>
                  <w:pPr>
                    <w:spacing w:line="240" w:lineRule="auto"/>
                    <w:ind w:left="0" w:leftChars="0" w:right="0" w:rightChars="0"/>
                    <w:contextualSpacing/>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406" w:type="dxa"/>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kern w:val="0"/>
                      <w:sz w:val="21"/>
                      <w:szCs w:val="21"/>
                      <w:highlight w:val="none"/>
                      <w:lang w:val="en-US" w:eastAsia="zh-CN" w:bidi="ar-SA"/>
                    </w:rPr>
                    <w:t>注塑机</w:t>
                  </w:r>
                </w:p>
              </w:tc>
              <w:tc>
                <w:tcPr>
                  <w:tcW w:w="2275" w:type="dxa"/>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SE230HS-CI</w:t>
                  </w:r>
                </w:p>
                <w:p>
                  <w:pPr>
                    <w:pStyle w:val="18"/>
                    <w:keepNext w:val="0"/>
                    <w:keepLines w:val="0"/>
                    <w:pageBreakBefore w:val="0"/>
                    <w:kinsoku/>
                    <w:wordWrap/>
                    <w:overflowPunct/>
                    <w:topLinePunct w:val="0"/>
                    <w:bidi w:val="0"/>
                    <w:adjustRightInd/>
                    <w:snapToGrid/>
                    <w:spacing w:after="0"/>
                    <w:ind w:left="0" w:leftChars="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主射台螺杆θ40mm</w:t>
                  </w:r>
                </w:p>
                <w:p>
                  <w:pPr>
                    <w:pStyle w:val="18"/>
                    <w:keepNext w:val="0"/>
                    <w:keepLines w:val="0"/>
                    <w:pageBreakBefore w:val="0"/>
                    <w:kinsoku/>
                    <w:wordWrap/>
                    <w:overflowPunct/>
                    <w:topLinePunct w:val="0"/>
                    <w:bidi w:val="0"/>
                    <w:adjustRightInd/>
                    <w:snapToGrid/>
                    <w:spacing w:after="0"/>
                    <w:ind w:left="0" w:leftChars="0" w:firstLine="0" w:firstLineChars="0"/>
                    <w:jc w:val="center"/>
                    <w:textAlignment w:val="auto"/>
                    <w:rPr>
                      <w:rFonts w:hint="default"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辅射台螺杆θ32mm</w:t>
                  </w:r>
                </w:p>
              </w:tc>
              <w:tc>
                <w:tcPr>
                  <w:tcW w:w="13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1</w:t>
                  </w:r>
                </w:p>
              </w:tc>
              <w:tc>
                <w:tcPr>
                  <w:tcW w:w="13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kern w:val="0"/>
                      <w:sz w:val="21"/>
                      <w:szCs w:val="21"/>
                      <w:highlight w:val="none"/>
                      <w:lang w:val="en-US" w:eastAsia="zh-CN" w:bidi="ar-SA"/>
                    </w:rPr>
                    <w:t>1</w:t>
                  </w:r>
                </w:p>
              </w:tc>
              <w:tc>
                <w:tcPr>
                  <w:tcW w:w="1671" w:type="dxa"/>
                  <w:tcBorders>
                    <w:tl2br w:val="nil"/>
                    <w:tr2bl w:val="nil"/>
                  </w:tcBorders>
                  <w:vAlign w:val="center"/>
                </w:tcPr>
                <w:p>
                  <w:pPr>
                    <w:spacing w:line="240" w:lineRule="auto"/>
                    <w:ind w:left="0" w:leftChars="0" w:right="0" w:rightChars="0"/>
                    <w:contextualSpacing/>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1406" w:type="dxa"/>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kern w:val="0"/>
                      <w:sz w:val="21"/>
                      <w:szCs w:val="21"/>
                      <w:highlight w:val="none"/>
                      <w:lang w:val="en-US" w:eastAsia="zh-CN" w:bidi="ar-SA"/>
                    </w:rPr>
                    <w:t>注塑机</w:t>
                  </w:r>
                </w:p>
              </w:tc>
              <w:tc>
                <w:tcPr>
                  <w:tcW w:w="2275" w:type="dxa"/>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SE220EV-A-HD</w:t>
                  </w:r>
                </w:p>
                <w:p>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螺杆θ40mm</w:t>
                  </w:r>
                </w:p>
              </w:tc>
              <w:tc>
                <w:tcPr>
                  <w:tcW w:w="13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2</w:t>
                  </w:r>
                </w:p>
              </w:tc>
              <w:tc>
                <w:tcPr>
                  <w:tcW w:w="13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kern w:val="0"/>
                      <w:sz w:val="21"/>
                      <w:szCs w:val="21"/>
                      <w:highlight w:val="none"/>
                      <w:lang w:val="en-US" w:eastAsia="zh-CN" w:bidi="ar-SA"/>
                    </w:rPr>
                    <w:t>2</w:t>
                  </w:r>
                </w:p>
              </w:tc>
              <w:tc>
                <w:tcPr>
                  <w:tcW w:w="1671" w:type="dxa"/>
                  <w:tcBorders>
                    <w:tl2br w:val="nil"/>
                    <w:tr2bl w:val="nil"/>
                  </w:tcBorders>
                  <w:vAlign w:val="center"/>
                </w:tcPr>
                <w:p>
                  <w:pPr>
                    <w:spacing w:line="240" w:lineRule="auto"/>
                    <w:ind w:left="0" w:leftChars="0" w:right="0" w:rightChars="0"/>
                    <w:contextualSpacing/>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1406" w:type="dxa"/>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kern w:val="0"/>
                      <w:sz w:val="21"/>
                      <w:szCs w:val="21"/>
                      <w:highlight w:val="none"/>
                      <w:lang w:val="en-US" w:eastAsia="zh-CN" w:bidi="ar-SA"/>
                    </w:rPr>
                    <w:t>吹瓶机</w:t>
                  </w:r>
                </w:p>
              </w:tc>
              <w:tc>
                <w:tcPr>
                  <w:tcW w:w="2275" w:type="dxa"/>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ASB-70DPW</w:t>
                  </w:r>
                </w:p>
              </w:tc>
              <w:tc>
                <w:tcPr>
                  <w:tcW w:w="13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2</w:t>
                  </w:r>
                </w:p>
              </w:tc>
              <w:tc>
                <w:tcPr>
                  <w:tcW w:w="13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kern w:val="0"/>
                      <w:sz w:val="21"/>
                      <w:szCs w:val="21"/>
                      <w:highlight w:val="none"/>
                      <w:lang w:val="en-US" w:eastAsia="zh-CN" w:bidi="ar-SA"/>
                    </w:rPr>
                    <w:t>2</w:t>
                  </w:r>
                </w:p>
              </w:tc>
              <w:tc>
                <w:tcPr>
                  <w:tcW w:w="1671" w:type="dxa"/>
                  <w:tcBorders>
                    <w:tl2br w:val="nil"/>
                    <w:tr2bl w:val="nil"/>
                  </w:tcBorders>
                  <w:vAlign w:val="center"/>
                </w:tcPr>
                <w:p>
                  <w:pPr>
                    <w:spacing w:line="240" w:lineRule="auto"/>
                    <w:ind w:left="0" w:leftChars="0" w:right="0" w:rightChars="0"/>
                    <w:contextualSpacing/>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1406" w:type="dxa"/>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kern w:val="0"/>
                      <w:sz w:val="21"/>
                      <w:szCs w:val="21"/>
                      <w:highlight w:val="none"/>
                      <w:lang w:val="en-US" w:eastAsia="zh-CN"/>
                    </w:rPr>
                    <w:t>组盖检测一体机</w:t>
                  </w:r>
                </w:p>
              </w:tc>
              <w:tc>
                <w:tcPr>
                  <w:tcW w:w="2275" w:type="dxa"/>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ZZG24</w:t>
                  </w:r>
                </w:p>
              </w:tc>
              <w:tc>
                <w:tcPr>
                  <w:tcW w:w="13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11</w:t>
                  </w:r>
                </w:p>
              </w:tc>
              <w:tc>
                <w:tcPr>
                  <w:tcW w:w="13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11</w:t>
                  </w:r>
                </w:p>
              </w:tc>
              <w:tc>
                <w:tcPr>
                  <w:tcW w:w="1671" w:type="dxa"/>
                  <w:tcBorders>
                    <w:tl2br w:val="nil"/>
                    <w:tr2bl w:val="nil"/>
                  </w:tcBorders>
                  <w:vAlign w:val="center"/>
                </w:tcPr>
                <w:p>
                  <w:pPr>
                    <w:spacing w:line="240" w:lineRule="auto"/>
                    <w:ind w:left="0" w:leftChars="0" w:right="0" w:rightChars="0"/>
                    <w:contextualSpacing/>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1406"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auto"/>
                      <w:kern w:val="0"/>
                      <w:sz w:val="21"/>
                      <w:szCs w:val="21"/>
                      <w:highlight w:val="none"/>
                    </w:rPr>
                    <w:t>空调机组</w:t>
                  </w:r>
                </w:p>
              </w:tc>
              <w:tc>
                <w:tcPr>
                  <w:tcW w:w="2275"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80000m</w:t>
                  </w:r>
                  <w:r>
                    <w:rPr>
                      <w:rFonts w:hint="eastAsia" w:ascii="Times New Roman" w:hAnsi="Times New Roman" w:eastAsia="宋体" w:cs="Times New Roman"/>
                      <w:kern w:val="0"/>
                      <w:sz w:val="21"/>
                      <w:szCs w:val="21"/>
                      <w:highlight w:val="none"/>
                      <w:vertAlign w:val="superscript"/>
                      <w:lang w:val="en-US" w:eastAsia="zh-CN"/>
                    </w:rPr>
                    <w:t>3</w:t>
                  </w:r>
                  <w:r>
                    <w:rPr>
                      <w:rFonts w:hint="eastAsia" w:ascii="Times New Roman" w:hAnsi="Times New Roman" w:eastAsia="宋体" w:cs="Times New Roman"/>
                      <w:kern w:val="0"/>
                      <w:sz w:val="21"/>
                      <w:szCs w:val="21"/>
                      <w:highlight w:val="none"/>
                      <w:lang w:val="en-US" w:eastAsia="zh-CN"/>
                    </w:rPr>
                    <w:t>/h</w:t>
                  </w:r>
                </w:p>
              </w:tc>
              <w:tc>
                <w:tcPr>
                  <w:tcW w:w="132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10</w:t>
                  </w:r>
                </w:p>
              </w:tc>
              <w:tc>
                <w:tcPr>
                  <w:tcW w:w="1356"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10</w:t>
                  </w:r>
                </w:p>
              </w:tc>
              <w:tc>
                <w:tcPr>
                  <w:tcW w:w="1671" w:type="dxa"/>
                  <w:tcBorders>
                    <w:tl2br w:val="nil"/>
                    <w:tr2bl w:val="nil"/>
                  </w:tcBorders>
                  <w:vAlign w:val="center"/>
                </w:tcPr>
                <w:p>
                  <w:pPr>
                    <w:spacing w:line="240" w:lineRule="auto"/>
                    <w:ind w:left="0" w:leftChars="0" w:right="0" w:rightChars="0"/>
                    <w:contextualSpacing/>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1406"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auto"/>
                      <w:kern w:val="0"/>
                      <w:sz w:val="21"/>
                      <w:szCs w:val="21"/>
                      <w:highlight w:val="none"/>
                      <w:lang w:val="en-US" w:eastAsia="zh-CN"/>
                    </w:rPr>
                    <w:t>输送一体式光学用干燥机</w:t>
                  </w:r>
                </w:p>
              </w:tc>
              <w:tc>
                <w:tcPr>
                  <w:tcW w:w="2275"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干燥温度40~130℃，过滤精度0.3μm，氮气浓度：99.99%，氮气产生量：5m</w:t>
                  </w:r>
                  <w:r>
                    <w:rPr>
                      <w:rFonts w:hint="eastAsia" w:ascii="Times New Roman" w:hAnsi="Times New Roman" w:eastAsia="宋体" w:cs="Times New Roman"/>
                      <w:kern w:val="0"/>
                      <w:sz w:val="21"/>
                      <w:szCs w:val="21"/>
                      <w:highlight w:val="none"/>
                      <w:vertAlign w:val="superscript"/>
                      <w:lang w:val="en-US" w:eastAsia="zh-CN"/>
                    </w:rPr>
                    <w:t>3</w:t>
                  </w:r>
                  <w:r>
                    <w:rPr>
                      <w:rFonts w:hint="eastAsia" w:ascii="Times New Roman" w:hAnsi="Times New Roman" w:eastAsia="宋体" w:cs="Times New Roman"/>
                      <w:kern w:val="0"/>
                      <w:sz w:val="21"/>
                      <w:szCs w:val="21"/>
                      <w:highlight w:val="none"/>
                      <w:lang w:val="en-US" w:eastAsia="zh-CN"/>
                    </w:rPr>
                    <w:t>/h</w:t>
                  </w:r>
                </w:p>
              </w:tc>
              <w:tc>
                <w:tcPr>
                  <w:tcW w:w="132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2</w:t>
                  </w:r>
                </w:p>
              </w:tc>
              <w:tc>
                <w:tcPr>
                  <w:tcW w:w="1356"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w:t>
                  </w:r>
                </w:p>
              </w:tc>
              <w:tc>
                <w:tcPr>
                  <w:tcW w:w="1671" w:type="dxa"/>
                  <w:tcBorders>
                    <w:tl2br w:val="nil"/>
                    <w:tr2bl w:val="nil"/>
                  </w:tcBorders>
                  <w:vAlign w:val="center"/>
                </w:tcPr>
                <w:p>
                  <w:pPr>
                    <w:spacing w:line="240" w:lineRule="auto"/>
                    <w:ind w:left="0" w:leftChars="0" w:right="0" w:rightChars="0"/>
                    <w:contextualSpacing/>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4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1406"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auto"/>
                      <w:kern w:val="0"/>
                      <w:sz w:val="21"/>
                      <w:szCs w:val="21"/>
                      <w:highlight w:val="none"/>
                      <w:lang w:val="en-US" w:eastAsia="zh-CN"/>
                    </w:rPr>
                    <w:t>空压机</w:t>
                  </w:r>
                </w:p>
              </w:tc>
              <w:tc>
                <w:tcPr>
                  <w:tcW w:w="2275"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RM75ie-A8.5</w:t>
                  </w:r>
                </w:p>
              </w:tc>
              <w:tc>
                <w:tcPr>
                  <w:tcW w:w="132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bCs/>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1</w:t>
                  </w:r>
                </w:p>
              </w:tc>
              <w:tc>
                <w:tcPr>
                  <w:tcW w:w="1356"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w:t>
                  </w:r>
                </w:p>
              </w:tc>
              <w:tc>
                <w:tcPr>
                  <w:tcW w:w="1671" w:type="dxa"/>
                  <w:tcBorders>
                    <w:tl2br w:val="nil"/>
                    <w:tr2bl w:val="nil"/>
                  </w:tcBorders>
                  <w:vAlign w:val="center"/>
                </w:tcPr>
                <w:p>
                  <w:pPr>
                    <w:spacing w:line="240" w:lineRule="auto"/>
                    <w:ind w:left="0" w:leftChars="0" w:right="0" w:rightChars="0"/>
                    <w:contextualSpacing/>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与环评一致</w:t>
                  </w:r>
                </w:p>
              </w:tc>
            </w:tr>
          </w:tbl>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3.</w:t>
            </w:r>
            <w:r>
              <w:rPr>
                <w:rFonts w:hint="eastAsia" w:cs="Times New Roman"/>
                <w:b/>
                <w:bCs/>
                <w:color w:val="auto"/>
                <w:sz w:val="24"/>
                <w:szCs w:val="24"/>
                <w:lang w:val="en-US" w:eastAsia="zh-CN"/>
              </w:rPr>
              <w:t>7</w:t>
            </w:r>
            <w:r>
              <w:rPr>
                <w:rFonts w:hint="default" w:ascii="Times New Roman" w:hAnsi="Times New Roman" w:cs="Times New Roman"/>
                <w:b/>
                <w:bCs/>
                <w:color w:val="auto"/>
                <w:sz w:val="24"/>
                <w:szCs w:val="24"/>
                <w:lang w:eastAsia="zh-CN"/>
              </w:rPr>
              <w:t>生产制度</w:t>
            </w:r>
          </w:p>
          <w:p>
            <w:pPr>
              <w:spacing w:line="360" w:lineRule="auto"/>
              <w:ind w:firstLine="480" w:firstLineChars="200"/>
              <w:jc w:val="both"/>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本项目新增劳动定员50人，年工作330天，每天运行24小时，全年运行7920小时，实行三班制。</w:t>
            </w:r>
          </w:p>
          <w:p>
            <w:pPr>
              <w:spacing w:line="360" w:lineRule="auto"/>
              <w:jc w:val="both"/>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3.</w:t>
            </w:r>
            <w:r>
              <w:rPr>
                <w:rFonts w:hint="eastAsia" w:cs="Times New Roman"/>
                <w:b/>
                <w:bCs/>
                <w:color w:val="auto"/>
                <w:sz w:val="24"/>
                <w:szCs w:val="24"/>
                <w:highlight w:val="none"/>
                <w:lang w:val="en-US" w:eastAsia="zh-CN"/>
              </w:rPr>
              <w:t>8</w:t>
            </w:r>
            <w:r>
              <w:rPr>
                <w:rFonts w:hint="default" w:ascii="Times New Roman" w:hAnsi="Times New Roman" w:cs="Times New Roman"/>
                <w:b/>
                <w:bCs/>
                <w:color w:val="auto"/>
                <w:sz w:val="24"/>
                <w:szCs w:val="24"/>
                <w:highlight w:val="none"/>
                <w:lang w:eastAsia="zh-CN"/>
              </w:rPr>
              <w:t xml:space="preserve"> 项目变动情况</w:t>
            </w:r>
          </w:p>
          <w:p>
            <w:pPr>
              <w:spacing w:line="360" w:lineRule="auto"/>
              <w:ind w:firstLine="480" w:firstLineChars="200"/>
              <w:jc w:val="both"/>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本次验收项目与环境影响报告表内容相比变动情况为：</w:t>
            </w:r>
            <w:r>
              <w:rPr>
                <w:rFonts w:hint="eastAsia" w:ascii="宋体" w:hAnsi="宋体" w:cs="宋体"/>
                <w:b w:val="0"/>
                <w:bCs w:val="0"/>
                <w:color w:val="auto"/>
                <w:sz w:val="24"/>
                <w:szCs w:val="24"/>
                <w:highlight w:val="none"/>
                <w:lang w:val="en-US" w:eastAsia="zh-CN"/>
              </w:rPr>
              <w:t>经现场调查和与建设单位核实，项目依托的排气筒</w:t>
            </w:r>
            <w:r>
              <w:rPr>
                <w:rFonts w:hint="default" w:ascii="Times New Roman" w:hAnsi="Times New Roman" w:cs="Times New Roman"/>
                <w:b w:val="0"/>
                <w:bCs w:val="0"/>
                <w:color w:val="auto"/>
                <w:sz w:val="24"/>
                <w:szCs w:val="24"/>
                <w:highlight w:val="none"/>
                <w:lang w:val="en-US" w:eastAsia="zh-CN"/>
              </w:rPr>
              <w:t>DA001</w:t>
            </w:r>
            <w:r>
              <w:rPr>
                <w:rFonts w:hint="eastAsia" w:ascii="宋体" w:hAnsi="宋体" w:cs="宋体"/>
                <w:b w:val="0"/>
                <w:bCs w:val="0"/>
                <w:color w:val="auto"/>
                <w:sz w:val="24"/>
                <w:szCs w:val="24"/>
                <w:highlight w:val="none"/>
                <w:lang w:val="en-US" w:eastAsia="zh-CN"/>
              </w:rPr>
              <w:t>环评及批复为高</w:t>
            </w:r>
            <w:r>
              <w:rPr>
                <w:rFonts w:hint="default" w:ascii="Times New Roman" w:hAnsi="Times New Roman" w:cs="Times New Roman"/>
                <w:b w:val="0"/>
                <w:bCs w:val="0"/>
                <w:color w:val="auto"/>
                <w:sz w:val="24"/>
                <w:szCs w:val="24"/>
                <w:highlight w:val="none"/>
                <w:lang w:val="en-US" w:eastAsia="zh-CN"/>
              </w:rPr>
              <w:t>15m</w:t>
            </w:r>
            <w:r>
              <w:rPr>
                <w:rFonts w:hint="eastAsia" w:ascii="宋体" w:hAnsi="宋体" w:cs="宋体"/>
                <w:b w:val="0"/>
                <w:bCs w:val="0"/>
                <w:color w:val="auto"/>
                <w:sz w:val="24"/>
                <w:szCs w:val="24"/>
                <w:highlight w:val="none"/>
                <w:lang w:val="en-US" w:eastAsia="zh-CN"/>
              </w:rPr>
              <w:t>，实际建设为高</w:t>
            </w:r>
            <w:r>
              <w:rPr>
                <w:rFonts w:hint="default" w:ascii="Times New Roman" w:hAnsi="Times New Roman" w:cs="Times New Roman"/>
                <w:b w:val="0"/>
                <w:bCs w:val="0"/>
                <w:color w:val="auto"/>
                <w:sz w:val="24"/>
                <w:szCs w:val="24"/>
                <w:highlight w:val="none"/>
                <w:lang w:val="en-US" w:eastAsia="zh-CN"/>
              </w:rPr>
              <w:t>25m</w:t>
            </w:r>
            <w:r>
              <w:rPr>
                <w:rFonts w:hint="eastAsia" w:ascii="宋体" w:hAnsi="宋体" w:cs="宋体"/>
                <w:b w:val="0"/>
                <w:bCs w:val="0"/>
                <w:color w:val="auto"/>
                <w:sz w:val="24"/>
                <w:szCs w:val="24"/>
                <w:highlight w:val="none"/>
                <w:lang w:val="en-US" w:eastAsia="zh-CN"/>
              </w:rPr>
              <w:t>。</w:t>
            </w:r>
          </w:p>
          <w:p>
            <w:pPr>
              <w:spacing w:line="360" w:lineRule="auto"/>
              <w:ind w:firstLine="480" w:firstLineChars="20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根据生态环境部《关于印发&lt;污染影响类建设项目重大变动清单&gt;（试行）的通知》（环办环评函</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2020</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688号）相关规定，上述变动不属于重大变动。</w:t>
            </w:r>
          </w:p>
          <w:p>
            <w:pPr>
              <w:pStyle w:val="13"/>
              <w:rPr>
                <w:rFonts w:hint="default"/>
              </w:rPr>
            </w:pPr>
          </w:p>
        </w:tc>
      </w:tr>
    </w:tbl>
    <w:p>
      <w:pPr>
        <w:spacing w:line="360" w:lineRule="auto"/>
        <w:rPr>
          <w:rFonts w:hint="default" w:ascii="Times New Roman" w:hAnsi="Times New Roman" w:cs="Times New Roman"/>
          <w:b/>
          <w:bCs/>
          <w:color w:val="auto"/>
          <w:sz w:val="24"/>
          <w:szCs w:val="24"/>
          <w:lang w:eastAsia="zh-CN"/>
        </w:rPr>
      </w:pPr>
      <w:r>
        <w:rPr>
          <w:rFonts w:hint="default" w:ascii="Times New Roman" w:hAnsi="Times New Roman" w:cs="Times New Roman"/>
          <w:b/>
          <w:bCs/>
          <w:color w:val="0000FF"/>
          <w:sz w:val="24"/>
          <w:szCs w:val="24"/>
          <w:lang w:eastAsia="zh-CN"/>
        </w:rPr>
        <w:br w:type="page"/>
      </w:r>
      <w:r>
        <w:rPr>
          <w:rFonts w:hint="default" w:ascii="Times New Roman" w:hAnsi="Times New Roman" w:cs="Times New Roman"/>
          <w:b/>
          <w:bCs/>
          <w:color w:val="auto"/>
          <w:sz w:val="24"/>
          <w:szCs w:val="24"/>
          <w:lang w:eastAsia="zh-CN"/>
        </w:rPr>
        <w:t>表四、环境保护设施</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51" w:hRule="atLeast"/>
          <w:jc w:val="center"/>
        </w:trPr>
        <w:tc>
          <w:tcPr>
            <w:tcW w:w="5000" w:type="pct"/>
          </w:tcPr>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4.1 污染物治理/处置设施</w:t>
            </w:r>
          </w:p>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4.1.1 废水</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验收</w:t>
            </w:r>
            <w:r>
              <w:rPr>
                <w:rFonts w:hint="default" w:ascii="Times New Roman" w:hAnsi="Times New Roman" w:cs="Times New Roman"/>
                <w:color w:val="auto"/>
                <w:sz w:val="24"/>
                <w:szCs w:val="24"/>
                <w:lang w:eastAsia="zh-CN"/>
              </w:rPr>
              <w:t>项目循环冷却水循环使用，定期补充，不外排</w:t>
            </w:r>
            <w:r>
              <w:rPr>
                <w:rFonts w:hint="eastAsia" w:cs="Times New Roman"/>
                <w:color w:val="auto"/>
                <w:sz w:val="24"/>
                <w:szCs w:val="24"/>
                <w:lang w:eastAsia="zh-CN"/>
              </w:rPr>
              <w:t>；</w:t>
            </w:r>
            <w:r>
              <w:rPr>
                <w:rFonts w:hint="eastAsia" w:cs="Times New Roman"/>
                <w:color w:val="auto"/>
                <w:sz w:val="24"/>
                <w:szCs w:val="24"/>
                <w:lang w:val="en-US" w:eastAsia="zh-CN"/>
              </w:rPr>
              <w:t>项目新增</w:t>
            </w:r>
            <w:r>
              <w:rPr>
                <w:rFonts w:hint="default" w:ascii="Times New Roman" w:hAnsi="Times New Roman" w:cs="Times New Roman"/>
                <w:color w:val="auto"/>
                <w:sz w:val="24"/>
                <w:szCs w:val="24"/>
                <w:lang w:eastAsia="zh-CN"/>
              </w:rPr>
              <w:t>废水为生活污水，生活污水经化粪池处理</w:t>
            </w:r>
            <w:r>
              <w:rPr>
                <w:rFonts w:hint="eastAsia" w:cs="Times New Roman"/>
                <w:color w:val="auto"/>
                <w:sz w:val="24"/>
                <w:szCs w:val="24"/>
                <w:lang w:val="en-US" w:eastAsia="zh-CN"/>
              </w:rPr>
              <w:t>后通过污水管网</w:t>
            </w:r>
            <w:r>
              <w:rPr>
                <w:rFonts w:hint="default" w:ascii="Times New Roman" w:hAnsi="Times New Roman" w:cs="Times New Roman"/>
                <w:color w:val="auto"/>
                <w:sz w:val="24"/>
                <w:szCs w:val="24"/>
                <w:lang w:eastAsia="zh-CN"/>
              </w:rPr>
              <w:t>进入齐城污水处理厂处理</w:t>
            </w:r>
            <w:r>
              <w:rPr>
                <w:rFonts w:hint="eastAsia" w:cs="Times New Roman"/>
                <w:color w:val="auto"/>
                <w:sz w:val="24"/>
                <w:szCs w:val="24"/>
                <w:lang w:eastAsia="zh-CN"/>
              </w:rPr>
              <w:t>。</w:t>
            </w:r>
          </w:p>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4.1.2 废气</w:t>
            </w:r>
          </w:p>
          <w:p>
            <w:pPr>
              <w:spacing w:line="360" w:lineRule="auto"/>
              <w:ind w:firstLine="480" w:firstLineChars="200"/>
              <w:rPr>
                <w:rFonts w:hint="default" w:ascii="Times New Roman" w:hAnsi="Times New Roman" w:eastAsia="宋体" w:cs="Times New Roman"/>
                <w:sz w:val="24"/>
                <w:highlight w:val="none"/>
              </w:rPr>
            </w:pPr>
            <w:r>
              <w:rPr>
                <w:rFonts w:hint="eastAsia" w:cs="Times New Roman"/>
                <w:sz w:val="24"/>
                <w:highlight w:val="none"/>
                <w:lang w:val="en-US" w:eastAsia="zh-CN"/>
              </w:rPr>
              <w:t>验收</w:t>
            </w:r>
            <w:r>
              <w:rPr>
                <w:rFonts w:hint="default" w:ascii="Times New Roman" w:hAnsi="Times New Roman" w:eastAsia="宋体" w:cs="Times New Roman"/>
                <w:sz w:val="24"/>
                <w:highlight w:val="none"/>
                <w:lang w:eastAsia="zh-CN"/>
              </w:rPr>
              <w:t>项目废气主要为预灌封注射器/预充管生产过程产生的注塑废气和西林瓶生产过程中产生的吹塑废气</w:t>
            </w:r>
            <w:r>
              <w:rPr>
                <w:rFonts w:hint="default" w:ascii="Times New Roman" w:hAnsi="Times New Roman" w:eastAsia="宋体" w:cs="Times New Roman"/>
                <w:sz w:val="24"/>
                <w:highlight w:val="none"/>
              </w:rPr>
              <w:t>。</w:t>
            </w:r>
          </w:p>
          <w:p>
            <w:pPr>
              <w:numPr>
                <w:ilvl w:val="0"/>
                <w:numId w:val="5"/>
              </w:num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cs="Times New Roman"/>
                <w:bCs/>
                <w:sz w:val="24"/>
                <w:highlight w:val="none"/>
                <w:lang w:val="en-US" w:eastAsia="zh-CN"/>
              </w:rPr>
              <w:t>有</w:t>
            </w:r>
            <w:r>
              <w:rPr>
                <w:rFonts w:hint="default" w:ascii="Times New Roman" w:hAnsi="Times New Roman" w:eastAsia="宋体" w:cs="Times New Roman"/>
                <w:bCs/>
                <w:sz w:val="24"/>
                <w:highlight w:val="none"/>
              </w:rPr>
              <w:t>组织废气</w:t>
            </w:r>
          </w:p>
          <w:p>
            <w:pPr>
              <w:numPr>
                <w:ilvl w:val="0"/>
                <w:numId w:val="0"/>
              </w:numPr>
              <w:spacing w:line="360" w:lineRule="auto"/>
              <w:ind w:firstLine="480" w:firstLineChars="200"/>
              <w:rPr>
                <w:rFonts w:hint="eastAsia" w:ascii="Times New Roman" w:hAnsi="Times New Roman" w:eastAsia="宋体" w:cs="Times New Roman"/>
                <w:sz w:val="24"/>
                <w:highlight w:val="none"/>
                <w:lang w:val="en-US" w:eastAsia="zh-CN"/>
              </w:rPr>
            </w:pPr>
            <w:r>
              <w:rPr>
                <w:rFonts w:hint="eastAsia" w:cs="Times New Roman"/>
                <w:sz w:val="24"/>
                <w:highlight w:val="none"/>
                <w:lang w:val="en-US" w:eastAsia="zh-CN"/>
              </w:rPr>
              <w:t>验收</w:t>
            </w:r>
            <w:r>
              <w:rPr>
                <w:rFonts w:hint="default" w:ascii="Times New Roman" w:hAnsi="Times New Roman" w:eastAsia="宋体" w:cs="Times New Roman"/>
                <w:sz w:val="24"/>
                <w:highlight w:val="none"/>
              </w:rPr>
              <w:t>项目废气主要为预灌封注射器/预充管生产过程产生的注塑废气</w:t>
            </w:r>
            <w:r>
              <w:rPr>
                <w:rFonts w:hint="eastAsia" w:cs="Times New Roman"/>
                <w:sz w:val="24"/>
                <w:highlight w:val="none"/>
                <w:lang w:eastAsia="zh-CN"/>
              </w:rPr>
              <w:t>（</w:t>
            </w:r>
            <w:r>
              <w:rPr>
                <w:rFonts w:hint="eastAsia" w:cs="Times New Roman"/>
                <w:sz w:val="24"/>
                <w:highlight w:val="none"/>
                <w:lang w:val="en-US" w:eastAsia="zh-CN"/>
              </w:rPr>
              <w:t>VOCs</w:t>
            </w:r>
            <w:r>
              <w:rPr>
                <w:rFonts w:hint="eastAsia" w:cs="Times New Roman"/>
                <w:sz w:val="24"/>
                <w:highlight w:val="none"/>
                <w:lang w:eastAsia="zh-CN"/>
              </w:rPr>
              <w:t>）</w:t>
            </w:r>
            <w:r>
              <w:rPr>
                <w:rFonts w:hint="default" w:ascii="Times New Roman" w:hAnsi="Times New Roman" w:eastAsia="宋体" w:cs="Times New Roman"/>
                <w:sz w:val="24"/>
                <w:highlight w:val="none"/>
              </w:rPr>
              <w:t>和西林瓶生产过程中产生的吹塑废气</w:t>
            </w:r>
            <w:r>
              <w:rPr>
                <w:rFonts w:hint="eastAsia" w:cs="Times New Roman"/>
                <w:sz w:val="24"/>
                <w:highlight w:val="none"/>
                <w:lang w:eastAsia="zh-CN"/>
              </w:rPr>
              <w:t>（</w:t>
            </w:r>
            <w:r>
              <w:rPr>
                <w:rFonts w:hint="eastAsia" w:cs="Times New Roman"/>
                <w:sz w:val="24"/>
                <w:highlight w:val="none"/>
                <w:lang w:val="en-US" w:eastAsia="zh-CN"/>
              </w:rPr>
              <w:t>VOCs</w:t>
            </w:r>
            <w:r>
              <w:rPr>
                <w:rFonts w:hint="eastAsia" w:cs="Times New Roman"/>
                <w:sz w:val="24"/>
                <w:highlight w:val="none"/>
                <w:lang w:eastAsia="zh-CN"/>
              </w:rPr>
              <w:t>）</w:t>
            </w:r>
            <w:r>
              <w:rPr>
                <w:rFonts w:hint="default" w:ascii="Times New Roman" w:hAnsi="Times New Roman" w:eastAsia="宋体" w:cs="Times New Roman"/>
                <w:sz w:val="24"/>
                <w:highlight w:val="none"/>
              </w:rPr>
              <w:t>，</w:t>
            </w:r>
            <w:r>
              <w:rPr>
                <w:rFonts w:hint="eastAsia" w:cs="Times New Roman"/>
                <w:sz w:val="24"/>
                <w:highlight w:val="none"/>
                <w:lang w:val="en-US" w:eastAsia="zh-CN"/>
              </w:rPr>
              <w:t>注塑废气和吹塑废气经负压（抽风系统）收集后进入</w:t>
            </w:r>
            <w:r>
              <w:rPr>
                <w:rFonts w:hint="default" w:ascii="Times New Roman" w:hAnsi="Times New Roman" w:eastAsia="宋体" w:cs="Times New Roman"/>
                <w:sz w:val="24"/>
                <w:highlight w:val="none"/>
              </w:rPr>
              <w:t>二级活性炭吸附装置处理后由DA00</w:t>
            </w:r>
            <w:r>
              <w:rPr>
                <w:rFonts w:hint="eastAsia" w:cs="Times New Roman"/>
                <w:sz w:val="24"/>
                <w:highlight w:val="none"/>
                <w:lang w:val="en-US" w:eastAsia="zh-CN"/>
              </w:rPr>
              <w:t>1</w:t>
            </w:r>
            <w:r>
              <w:rPr>
                <w:rFonts w:hint="default" w:ascii="Times New Roman" w:hAnsi="Times New Roman" w:eastAsia="宋体" w:cs="Times New Roman"/>
                <w:sz w:val="24"/>
                <w:highlight w:val="none"/>
              </w:rPr>
              <w:t>排气筒排放</w:t>
            </w:r>
            <w:r>
              <w:rPr>
                <w:rFonts w:hint="eastAsia" w:cs="Times New Roman"/>
                <w:sz w:val="24"/>
                <w:highlight w:val="none"/>
                <w:lang w:eastAsia="zh-CN"/>
              </w:rPr>
              <w:t>。</w:t>
            </w:r>
          </w:p>
          <w:p>
            <w:pPr>
              <w:numPr>
                <w:ilvl w:val="0"/>
                <w:numId w:val="5"/>
              </w:numPr>
              <w:spacing w:line="360" w:lineRule="auto"/>
              <w:ind w:left="0" w:leftChars="0" w:firstLine="480" w:firstLineChars="200"/>
              <w:rPr>
                <w:rFonts w:hint="default" w:ascii="Times New Roman" w:hAnsi="Times New Roman" w:eastAsia="宋体" w:cs="Times New Roman"/>
                <w:bCs/>
                <w:sz w:val="24"/>
                <w:highlight w:val="none"/>
                <w:lang w:eastAsia="zh-CN"/>
              </w:rPr>
            </w:pPr>
            <w:r>
              <w:rPr>
                <w:rFonts w:hint="default" w:ascii="Times New Roman" w:hAnsi="Times New Roman" w:eastAsia="宋体" w:cs="Times New Roman"/>
                <w:bCs/>
                <w:sz w:val="24"/>
                <w:highlight w:val="none"/>
                <w:lang w:eastAsia="zh-CN"/>
              </w:rPr>
              <w:t>无组织废气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无组织废气主要为未</w:t>
            </w:r>
            <w:r>
              <w:rPr>
                <w:rFonts w:hint="eastAsia" w:cs="Times New Roman"/>
                <w:bCs/>
                <w:sz w:val="24"/>
                <w:highlight w:val="none"/>
                <w:lang w:val="en-US" w:eastAsia="zh-CN"/>
              </w:rPr>
              <w:t>被负压收集系统</w:t>
            </w:r>
            <w:r>
              <w:rPr>
                <w:rFonts w:hint="default" w:ascii="Times New Roman" w:hAnsi="Times New Roman" w:eastAsia="宋体" w:cs="Times New Roman"/>
                <w:bCs/>
                <w:sz w:val="24"/>
                <w:highlight w:val="none"/>
                <w:lang w:val="en-US" w:eastAsia="zh-CN"/>
              </w:rPr>
              <w:t>收集的废气。</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因此，本项目对于周边大气环境影响较小。</w:t>
            </w:r>
          </w:p>
          <w:tbl>
            <w:tblPr>
              <w:tblStyle w:val="20"/>
              <w:tblW w:w="485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56"/>
              <w:gridCol w:w="45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83" w:type="pct"/>
                  <w:tcBorders>
                    <w:tl2br w:val="nil"/>
                    <w:tr2bl w:val="nil"/>
                  </w:tcBorders>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drawing>
                      <wp:inline distT="0" distB="0" distL="0" distR="0">
                        <wp:extent cx="2611755" cy="1958340"/>
                        <wp:effectExtent l="0" t="0" r="17145" b="3810"/>
                        <wp:docPr id="1037" name="图片 2" descr="3d1d986c2730394f48b63bbbbc26988"/>
                        <wp:cNvGraphicFramePr/>
                        <a:graphic xmlns:a="http://schemas.openxmlformats.org/drawingml/2006/main">
                          <a:graphicData uri="http://schemas.openxmlformats.org/drawingml/2006/picture">
                            <pic:pic xmlns:pic="http://schemas.openxmlformats.org/drawingml/2006/picture">
                              <pic:nvPicPr>
                                <pic:cNvPr id="1037" name="图片 2" descr="3d1d986c2730394f48b63bbbbc26988"/>
                                <pic:cNvPicPr/>
                              </pic:nvPicPr>
                              <pic:blipFill>
                                <a:blip r:embed="rId19" cstate="print"/>
                                <a:srcRect/>
                                <a:stretch>
                                  <a:fillRect/>
                                </a:stretch>
                              </pic:blipFill>
                              <pic:spPr>
                                <a:xfrm>
                                  <a:off x="0" y="0"/>
                                  <a:ext cx="2611755" cy="1958340"/>
                                </a:xfrm>
                                <a:prstGeom prst="rect">
                                  <a:avLst/>
                                </a:prstGeom>
                              </pic:spPr>
                            </pic:pic>
                          </a:graphicData>
                        </a:graphic>
                      </wp:inline>
                    </w:drawing>
                  </w:r>
                </w:p>
              </w:tc>
              <w:tc>
                <w:tcPr>
                  <w:tcW w:w="2616" w:type="pct"/>
                  <w:tcBorders>
                    <w:tl2br w:val="nil"/>
                    <w:tr2bl w:val="nil"/>
                  </w:tcBorders>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b w:val="0"/>
                      <w:bCs w:val="0"/>
                      <w:sz w:val="21"/>
                      <w:szCs w:val="21"/>
                      <w:vertAlign w:val="baseline"/>
                      <w:lang w:eastAsia="zh-CN"/>
                    </w:rPr>
                  </w:pPr>
                  <w:r>
                    <w:rPr>
                      <w:rFonts w:hint="default" w:ascii="Times New Roman" w:hAnsi="Times New Roman" w:cs="Times New Roman"/>
                      <w:b w:val="0"/>
                      <w:bCs w:val="0"/>
                      <w:sz w:val="21"/>
                      <w:szCs w:val="21"/>
                      <w:vertAlign w:val="baseline"/>
                      <w:lang w:eastAsia="zh-CN"/>
                    </w:rPr>
                    <w:drawing>
                      <wp:inline distT="0" distB="0" distL="0" distR="0">
                        <wp:extent cx="2707005" cy="1965960"/>
                        <wp:effectExtent l="0" t="0" r="17145" b="15240"/>
                        <wp:docPr id="1038" name="图片 11" descr="4840647bf9469276a1f7846c9285eb3"/>
                        <wp:cNvGraphicFramePr/>
                        <a:graphic xmlns:a="http://schemas.openxmlformats.org/drawingml/2006/main">
                          <a:graphicData uri="http://schemas.openxmlformats.org/drawingml/2006/picture">
                            <pic:pic xmlns:pic="http://schemas.openxmlformats.org/drawingml/2006/picture">
                              <pic:nvPicPr>
                                <pic:cNvPr id="1038" name="图片 11" descr="4840647bf9469276a1f7846c9285eb3"/>
                                <pic:cNvPicPr/>
                              </pic:nvPicPr>
                              <pic:blipFill>
                                <a:blip r:embed="rId20" cstate="print"/>
                                <a:srcRect/>
                                <a:stretch>
                                  <a:fillRect/>
                                </a:stretch>
                              </pic:blipFill>
                              <pic:spPr>
                                <a:xfrm>
                                  <a:off x="0" y="0"/>
                                  <a:ext cx="2707005" cy="196596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83" w:type="pct"/>
                  <w:tcBorders>
                    <w:tl2br w:val="nil"/>
                    <w:tr2bl w:val="nil"/>
                  </w:tcBorders>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2#车间1F抽风系统（负压收集）</w:t>
                  </w:r>
                </w:p>
              </w:tc>
              <w:tc>
                <w:tcPr>
                  <w:tcW w:w="2616" w:type="pct"/>
                  <w:tcBorders>
                    <w:tl2br w:val="nil"/>
                    <w:tr2bl w:val="nil"/>
                  </w:tcBorders>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2#车间1F抽风系统（负压收集）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tl2br w:val="nil"/>
                    <w:tr2bl w:val="nil"/>
                  </w:tcBorders>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drawing>
                      <wp:inline distT="0" distB="0" distL="0" distR="0">
                        <wp:extent cx="3446145" cy="2225675"/>
                        <wp:effectExtent l="0" t="0" r="1905" b="3175"/>
                        <wp:docPr id="1039" name="图片 16" descr="4159cee37655bcb8acdd337f581c911"/>
                        <wp:cNvGraphicFramePr/>
                        <a:graphic xmlns:a="http://schemas.openxmlformats.org/drawingml/2006/main">
                          <a:graphicData uri="http://schemas.openxmlformats.org/drawingml/2006/picture">
                            <pic:pic xmlns:pic="http://schemas.openxmlformats.org/drawingml/2006/picture">
                              <pic:nvPicPr>
                                <pic:cNvPr id="1039" name="图片 16" descr="4159cee37655bcb8acdd337f581c911"/>
                                <pic:cNvPicPr/>
                              </pic:nvPicPr>
                              <pic:blipFill>
                                <a:blip r:embed="rId21" cstate="print"/>
                                <a:srcRect/>
                                <a:stretch>
                                  <a:fillRect/>
                                </a:stretch>
                              </pic:blipFill>
                              <pic:spPr>
                                <a:xfrm>
                                  <a:off x="0" y="0"/>
                                  <a:ext cx="3446145" cy="2225675"/>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tl2br w:val="nil"/>
                    <w:tr2bl w:val="nil"/>
                  </w:tcBorders>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环保设备及排气筒</w:t>
                  </w:r>
                </w:p>
              </w:tc>
            </w:tr>
          </w:tbl>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4.1.3 噪声</w:t>
            </w:r>
          </w:p>
          <w:p>
            <w:pPr>
              <w:spacing w:line="360" w:lineRule="auto"/>
              <w:ind w:firstLine="480" w:firstLineChars="200"/>
              <w:jc w:val="both"/>
              <w:rPr>
                <w:rFonts w:hint="default" w:ascii="Times New Roman" w:hAnsi="Times New Roman" w:eastAsia="宋体" w:cs="Times New Roman"/>
                <w:bCs/>
                <w:sz w:val="24"/>
                <w:highlight w:val="none"/>
              </w:rPr>
            </w:pPr>
            <w:r>
              <w:rPr>
                <w:rFonts w:hint="eastAsia" w:cs="Times New Roman"/>
                <w:sz w:val="24"/>
                <w:highlight w:val="none"/>
                <w:lang w:val="en-US" w:eastAsia="zh-CN"/>
              </w:rPr>
              <w:t>验收</w:t>
            </w:r>
            <w:r>
              <w:rPr>
                <w:rFonts w:hint="default" w:ascii="Times New Roman" w:hAnsi="Times New Roman" w:eastAsia="宋体" w:cs="Times New Roman"/>
                <w:sz w:val="24"/>
                <w:highlight w:val="none"/>
              </w:rPr>
              <w:t>项目噪声主要为生产过程中的各机械设备运行时产生的噪声，其声压级约在7</w:t>
            </w:r>
            <w:r>
              <w:rPr>
                <w:rFonts w:hint="eastAsia" w:cs="Times New Roman"/>
                <w:sz w:val="24"/>
                <w:highlight w:val="none"/>
                <w:lang w:val="en-US" w:eastAsia="zh-CN"/>
              </w:rPr>
              <w:t>5</w:t>
            </w:r>
            <w:r>
              <w:rPr>
                <w:rFonts w:hint="default" w:ascii="Times New Roman" w:hAnsi="Times New Roman" w:eastAsia="宋体" w:cs="Times New Roman"/>
                <w:sz w:val="24"/>
                <w:highlight w:val="none"/>
              </w:rPr>
              <w:t>~</w:t>
            </w:r>
            <w:r>
              <w:rPr>
                <w:rFonts w:hint="eastAsia" w:cs="Times New Roman"/>
                <w:sz w:val="24"/>
                <w:highlight w:val="none"/>
                <w:lang w:val="en-US" w:eastAsia="zh-CN"/>
              </w:rPr>
              <w:t>9</w:t>
            </w:r>
            <w:r>
              <w:rPr>
                <w:rFonts w:hint="default" w:ascii="Times New Roman" w:hAnsi="Times New Roman" w:eastAsia="宋体" w:cs="Times New Roman"/>
                <w:sz w:val="24"/>
                <w:highlight w:val="none"/>
              </w:rPr>
              <w:t>0dB（A）之间</w:t>
            </w:r>
            <w:r>
              <w:rPr>
                <w:rFonts w:hint="default" w:ascii="Times New Roman" w:hAnsi="Times New Roman" w:eastAsia="宋体" w:cs="Times New Roman"/>
                <w:bCs/>
                <w:sz w:val="24"/>
                <w:highlight w:val="none"/>
              </w:rPr>
              <w:t>。企业</w:t>
            </w:r>
            <w:r>
              <w:rPr>
                <w:rFonts w:hint="eastAsia" w:cs="Times New Roman"/>
                <w:bCs/>
                <w:sz w:val="24"/>
                <w:highlight w:val="none"/>
                <w:lang w:val="en-US" w:eastAsia="zh-CN"/>
              </w:rPr>
              <w:t>选用</w:t>
            </w:r>
            <w:r>
              <w:rPr>
                <w:rFonts w:hint="default" w:ascii="Times New Roman" w:hAnsi="Times New Roman" w:eastAsia="宋体" w:cs="Times New Roman"/>
                <w:bCs/>
                <w:sz w:val="24"/>
                <w:highlight w:val="none"/>
              </w:rPr>
              <w:t>低噪声设备</w:t>
            </w:r>
            <w:r>
              <w:rPr>
                <w:rFonts w:hint="eastAsia" w:cs="Times New Roman"/>
                <w:bCs/>
                <w:sz w:val="24"/>
                <w:highlight w:val="none"/>
                <w:lang w:eastAsia="zh-CN"/>
              </w:rPr>
              <w:t>、</w:t>
            </w:r>
            <w:r>
              <w:rPr>
                <w:rFonts w:hint="eastAsia" w:cs="Times New Roman"/>
                <w:bCs/>
                <w:sz w:val="24"/>
                <w:highlight w:val="none"/>
                <w:lang w:val="en-US" w:eastAsia="zh-CN"/>
              </w:rPr>
              <w:t>合理布局</w:t>
            </w:r>
            <w:r>
              <w:rPr>
                <w:rFonts w:hint="default" w:ascii="Times New Roman" w:hAnsi="Times New Roman" w:eastAsia="宋体" w:cs="Times New Roman"/>
                <w:bCs/>
                <w:sz w:val="24"/>
                <w:highlight w:val="none"/>
              </w:rPr>
              <w:t>等措施后，各厂界昼夜间噪声值均满足《工业企业厂界环境噪声排放标准》（GB12348-2008）2类标准限值要求，对项目所在地附近声环境影响不大。</w:t>
            </w:r>
          </w:p>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4.1.</w:t>
            </w: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eastAsia="zh-CN"/>
              </w:rPr>
              <w:t xml:space="preserve"> 固体废物</w:t>
            </w:r>
          </w:p>
          <w:p>
            <w:pPr>
              <w:spacing w:line="360" w:lineRule="auto"/>
              <w:ind w:firstLine="480" w:firstLineChars="200"/>
              <w:jc w:val="left"/>
              <w:rPr>
                <w:rFonts w:hint="eastAsia" w:ascii="Times New Roman" w:hAnsi="Times New Roman" w:eastAsia="宋体" w:cs="Times New Roman"/>
                <w:bCs/>
                <w:sz w:val="24"/>
                <w:highlight w:val="none"/>
                <w:lang w:val="en-US" w:eastAsia="zh-CN"/>
              </w:rPr>
            </w:pPr>
            <w:r>
              <w:rPr>
                <w:rFonts w:hint="eastAsia" w:cs="Times New Roman"/>
                <w:sz w:val="24"/>
                <w:highlight w:val="none"/>
                <w:lang w:val="en-US" w:eastAsia="zh-CN"/>
              </w:rPr>
              <w:t>验收</w:t>
            </w:r>
            <w:r>
              <w:rPr>
                <w:rFonts w:hint="default" w:ascii="Times New Roman" w:hAnsi="Times New Roman" w:eastAsia="宋体" w:cs="Times New Roman"/>
                <w:sz w:val="24"/>
                <w:highlight w:val="none"/>
              </w:rPr>
              <w:t>项目固废主要为</w:t>
            </w:r>
            <w:r>
              <w:rPr>
                <w:rFonts w:hint="eastAsia" w:cs="Times New Roman"/>
                <w:sz w:val="24"/>
                <w:highlight w:val="none"/>
                <w:lang w:val="en-US" w:eastAsia="zh-CN"/>
              </w:rPr>
              <w:t>生活垃圾、废包装、废塑料、废机油、废机油桶、废活性炭；</w:t>
            </w:r>
            <w:r>
              <w:rPr>
                <w:rFonts w:hint="default" w:ascii="Times New Roman" w:hAnsi="Times New Roman" w:eastAsia="宋体" w:cs="Times New Roman"/>
                <w:sz w:val="24"/>
                <w:highlight w:val="none"/>
              </w:rPr>
              <w:t>生活垃圾经袋装收集、分类存放后由环卫部门定期清运</w:t>
            </w:r>
            <w:r>
              <w:rPr>
                <w:rFonts w:hint="eastAsia"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rPr>
              <w:t>废包装、废塑料统一收集后外售</w:t>
            </w:r>
            <w:r>
              <w:rPr>
                <w:rFonts w:hint="eastAsia" w:cs="Times New Roman"/>
                <w:sz w:val="24"/>
                <w:highlight w:val="none"/>
                <w:lang w:eastAsia="zh-CN"/>
              </w:rPr>
              <w:t>；</w:t>
            </w:r>
            <w:r>
              <w:rPr>
                <w:rFonts w:hint="default" w:ascii="Times New Roman" w:hAnsi="Times New Roman" w:eastAsia="宋体" w:cs="Times New Roman"/>
                <w:sz w:val="24"/>
                <w:highlight w:val="none"/>
              </w:rPr>
              <w:t>废机油、废机油桶、废活性炭属于危险废物，暂存于危废库，定期委托有资质单位处置</w:t>
            </w:r>
            <w:r>
              <w:rPr>
                <w:rFonts w:hint="eastAsia" w:cs="Times New Roman"/>
                <w:sz w:val="24"/>
                <w:highlight w:val="none"/>
                <w:lang w:eastAsia="zh-CN"/>
              </w:rPr>
              <w:t>。</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综上所述，本项目的固体废物都得到有效处理，对周围环境基本无影响。</w:t>
            </w:r>
          </w:p>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4.2 其他环保设施</w:t>
            </w:r>
          </w:p>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4.2.1 环境风险防范设施</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该项目不构成重大危险源，在日常工作中仍须严格执行国家的技术规范和操作规程要求，在认真落实工程拟采取的事故对策后，工程的事故对周围影响处于可接受水平。</w:t>
            </w:r>
          </w:p>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4.2.2在线监测装置</w:t>
            </w:r>
          </w:p>
          <w:p>
            <w:pPr>
              <w:pStyle w:val="24"/>
              <w:spacing w:line="360" w:lineRule="auto"/>
              <w:ind w:firstLine="482"/>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本项目无大型锅炉、窑炉等排污设备，亦非重点排污单位，无需安装在线监测系统，项目未安装在线监测装置。</w:t>
            </w:r>
          </w:p>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4.2.3</w:t>
            </w:r>
            <w:r>
              <w:rPr>
                <w:rFonts w:hint="default" w:ascii="Times New Roman" w:hAnsi="Times New Roman" w:cs="Times New Roman"/>
                <w:b/>
                <w:bCs/>
                <w:sz w:val="24"/>
                <w:highlight w:val="none"/>
              </w:rPr>
              <w:t>风险防范措施及应急要求</w:t>
            </w:r>
          </w:p>
          <w:p>
            <w:pPr>
              <w:pStyle w:val="24"/>
              <w:spacing w:line="360" w:lineRule="auto"/>
              <w:ind w:firstLine="480"/>
              <w:jc w:val="both"/>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1）环境风险防范措施</w:t>
            </w:r>
          </w:p>
          <w:p>
            <w:pPr>
              <w:pStyle w:val="24"/>
              <w:spacing w:line="360" w:lineRule="auto"/>
              <w:ind w:firstLine="480"/>
              <w:jc w:val="both"/>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为使环境风险减小到最低限度，必须加强劳动安全管理，制定完备、有效的安全防范措施，尽可能降低项目环境风险事故发生的概率。 </w:t>
            </w:r>
          </w:p>
          <w:p>
            <w:pPr>
              <w:pStyle w:val="24"/>
              <w:spacing w:line="360" w:lineRule="auto"/>
              <w:ind w:firstLine="480"/>
              <w:jc w:val="both"/>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a.公司应加强设备的管理维护。 </w:t>
            </w:r>
          </w:p>
          <w:p>
            <w:pPr>
              <w:pStyle w:val="24"/>
              <w:spacing w:line="360" w:lineRule="auto"/>
              <w:ind w:firstLine="480"/>
              <w:jc w:val="both"/>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b.制定严格的操作规程，对生产车间操作人员进行必要的安全培训后方可进行生产。</w:t>
            </w:r>
          </w:p>
          <w:p>
            <w:pPr>
              <w:pStyle w:val="24"/>
              <w:spacing w:line="360" w:lineRule="auto"/>
              <w:ind w:firstLine="480"/>
              <w:jc w:val="both"/>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c.建立严格的入库管理制度，入库时严格检验物品质量、数量、包装等情况，入库后采取适当的防护措施，定期检查。 </w:t>
            </w:r>
          </w:p>
          <w:p>
            <w:pPr>
              <w:pStyle w:val="24"/>
              <w:spacing w:line="360" w:lineRule="auto"/>
              <w:ind w:firstLine="480"/>
              <w:jc w:val="both"/>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d.设置必要消防设备。 </w:t>
            </w:r>
          </w:p>
          <w:p>
            <w:pPr>
              <w:pStyle w:val="24"/>
              <w:spacing w:line="360" w:lineRule="auto"/>
              <w:ind w:firstLine="480"/>
              <w:jc w:val="both"/>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e.废机油位于危废间，机油位于生产车间。危废间应重点防渗，满足防渗要求；厂房内地面已做防渗硬化处理。</w:t>
            </w:r>
          </w:p>
          <w:p>
            <w:pPr>
              <w:pStyle w:val="24"/>
              <w:spacing w:line="360" w:lineRule="auto"/>
              <w:ind w:firstLine="480"/>
              <w:jc w:val="both"/>
              <w:rPr>
                <w:rFonts w:hint="eastAsia"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rPr>
              <w:t>2）环境风险应急</w:t>
            </w:r>
            <w:r>
              <w:rPr>
                <w:rFonts w:hint="eastAsia" w:ascii="Times New Roman" w:hAnsi="Times New Roman" w:cs="Times New Roman"/>
                <w:sz w:val="24"/>
                <w:highlight w:val="none"/>
                <w:lang w:val="en-US" w:eastAsia="zh-CN"/>
              </w:rPr>
              <w:t>要求</w:t>
            </w:r>
          </w:p>
          <w:p>
            <w:pPr>
              <w:spacing w:line="360" w:lineRule="auto"/>
              <w:ind w:firstLine="480" w:firstLineChars="200"/>
              <w:jc w:val="both"/>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危险物质一旦发生泄漏，应急人员</w:t>
            </w:r>
            <w:r>
              <w:rPr>
                <w:rFonts w:hint="eastAsia" w:cs="Times New Roman"/>
                <w:sz w:val="24"/>
                <w:highlight w:val="none"/>
                <w:lang w:val="en-US" w:eastAsia="zh-CN"/>
              </w:rPr>
              <w:t>将</w:t>
            </w:r>
            <w:r>
              <w:rPr>
                <w:rFonts w:hint="default" w:ascii="Times New Roman" w:hAnsi="Times New Roman" w:eastAsia="宋体" w:cs="Times New Roman"/>
                <w:sz w:val="24"/>
                <w:highlight w:val="none"/>
              </w:rPr>
              <w:t>及时采用吸油棉或消防沙吸附，吸附废物集中收集后委托有资质的单位处置。当发生火灾及燃爆事故时，现场人员或其他人员应该立刻拨打火警电话119，并立即通知有关人员停止作业，尽快切断所有电源，组织人员和其他易燃物品的疏散，并利用就近的消防器材将火苗扑灭。当火灾进入发展阶段、猛烈阶段，应由消防队来组织灭火，现场人员在确保安全的情况下应和消防人员配合，做好灭火工作。事故发生后，及时对雨水排放口用沙袋等进行封堵，防止消防废水经雨水管道外排。事故结束后对事故废水水质进行委托检测，水质超标需收集后交有资质单位处置，水质达标可经污水总排口排放。</w:t>
            </w:r>
          </w:p>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4.3环保设施投资及</w:t>
            </w:r>
            <w:r>
              <w:rPr>
                <w:rFonts w:hint="eastAsia" w:cs="Times New Roman"/>
                <w:b/>
                <w:bCs/>
                <w:color w:val="auto"/>
                <w:sz w:val="24"/>
                <w:szCs w:val="24"/>
                <w:lang w:eastAsia="zh-CN"/>
              </w:rPr>
              <w:t>“</w:t>
            </w:r>
            <w:r>
              <w:rPr>
                <w:rFonts w:hint="default" w:ascii="Times New Roman" w:hAnsi="Times New Roman" w:cs="Times New Roman"/>
                <w:b/>
                <w:bCs/>
                <w:color w:val="auto"/>
                <w:sz w:val="24"/>
                <w:szCs w:val="24"/>
                <w:lang w:eastAsia="zh-CN"/>
              </w:rPr>
              <w:t>三同时</w:t>
            </w:r>
            <w:r>
              <w:rPr>
                <w:rFonts w:hint="eastAsia" w:cs="Times New Roman"/>
                <w:b/>
                <w:bCs/>
                <w:color w:val="auto"/>
                <w:sz w:val="24"/>
                <w:szCs w:val="24"/>
                <w:lang w:eastAsia="zh-CN"/>
              </w:rPr>
              <w:t>”</w:t>
            </w:r>
            <w:r>
              <w:rPr>
                <w:rFonts w:hint="default" w:ascii="Times New Roman" w:hAnsi="Times New Roman" w:cs="Times New Roman"/>
                <w:b/>
                <w:bCs/>
                <w:color w:val="auto"/>
                <w:sz w:val="24"/>
                <w:szCs w:val="24"/>
                <w:lang w:eastAsia="zh-CN"/>
              </w:rPr>
              <w:t>落实情况</w:t>
            </w:r>
          </w:p>
          <w:p>
            <w:pPr>
              <w:pStyle w:val="24"/>
              <w:spacing w:line="360" w:lineRule="auto"/>
              <w:ind w:firstLine="482"/>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项目实际投资</w:t>
            </w:r>
            <w:r>
              <w:rPr>
                <w:rFonts w:hint="eastAsia" w:ascii="Times New Roman" w:hAnsi="Times New Roman" w:cs="Times New Roman"/>
                <w:color w:val="auto"/>
                <w:sz w:val="24"/>
                <w:lang w:val="en-US" w:eastAsia="zh-CN"/>
              </w:rPr>
              <w:t>5200</w:t>
            </w:r>
            <w:r>
              <w:rPr>
                <w:rFonts w:hint="default" w:ascii="Times New Roman" w:hAnsi="Times New Roman" w:cs="Times New Roman"/>
                <w:color w:val="auto"/>
                <w:sz w:val="24"/>
                <w:lang w:val="en-US" w:eastAsia="zh-CN"/>
              </w:rPr>
              <w:t>万元</w:t>
            </w:r>
            <w:r>
              <w:rPr>
                <w:rFonts w:hint="default" w:ascii="Times New Roman" w:hAnsi="Times New Roman" w:cs="Times New Roman"/>
                <w:color w:val="auto"/>
                <w:sz w:val="24"/>
                <w:lang w:eastAsia="zh-CN"/>
              </w:rPr>
              <w:t>，环保投资</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lang w:eastAsia="zh-CN"/>
              </w:rPr>
              <w:t>万元，占总投资额的</w:t>
            </w:r>
            <w:r>
              <w:rPr>
                <w:rFonts w:hint="eastAsia" w:ascii="Times New Roman" w:hAnsi="Times New Roman" w:cs="Times New Roman"/>
                <w:color w:val="auto"/>
                <w:sz w:val="24"/>
                <w:lang w:val="en-US" w:eastAsia="zh-CN"/>
              </w:rPr>
              <w:t>0.38</w:t>
            </w:r>
            <w:r>
              <w:rPr>
                <w:rFonts w:hint="default" w:ascii="Times New Roman" w:hAnsi="Times New Roman" w:cs="Times New Roman"/>
                <w:color w:val="auto"/>
                <w:sz w:val="24"/>
                <w:lang w:eastAsia="zh-CN"/>
              </w:rPr>
              <w:t>%，主要用于废气处理、固废清运、噪声的防治等。环保投资一览表见表4</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w:t>
            </w:r>
          </w:p>
          <w:p>
            <w:pPr>
              <w:pStyle w:val="24"/>
              <w:spacing w:line="240" w:lineRule="auto"/>
              <w:jc w:val="center"/>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表4</w:t>
            </w:r>
            <w:r>
              <w:rPr>
                <w:rFonts w:hint="eastAsia" w:ascii="Times New Roman" w:hAnsi="Times New Roman" w:cs="Times New Roman"/>
                <w:b/>
                <w:bCs/>
                <w:color w:val="auto"/>
                <w:sz w:val="24"/>
                <w:lang w:val="en-US" w:eastAsia="zh-CN"/>
              </w:rPr>
              <w:t>-1</w:t>
            </w:r>
            <w:r>
              <w:rPr>
                <w:rFonts w:hint="default" w:ascii="Times New Roman" w:hAnsi="Times New Roman" w:cs="Times New Roman"/>
                <w:b/>
                <w:bCs/>
                <w:color w:val="auto"/>
                <w:sz w:val="24"/>
                <w:lang w:eastAsia="zh-CN"/>
              </w:rPr>
              <w:t xml:space="preserve">  环保投资一览表</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42"/>
              <w:gridCol w:w="1210"/>
              <w:gridCol w:w="3836"/>
              <w:gridCol w:w="1444"/>
              <w:gridCol w:w="16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35" w:hRule="atLeast"/>
                <w:jc w:val="center"/>
              </w:trPr>
              <w:tc>
                <w:tcPr>
                  <w:tcW w:w="642" w:type="dxa"/>
                  <w:vAlign w:val="center"/>
                </w:tcPr>
                <w:p>
                  <w:pPr>
                    <w:spacing w:line="240" w:lineRule="exact"/>
                    <w:jc w:val="center"/>
                    <w:textAlignment w:val="baseline"/>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序号</w:t>
                  </w:r>
                </w:p>
              </w:tc>
              <w:tc>
                <w:tcPr>
                  <w:tcW w:w="1210" w:type="dxa"/>
                  <w:vAlign w:val="center"/>
                </w:tcPr>
                <w:p>
                  <w:pPr>
                    <w:spacing w:line="240" w:lineRule="exact"/>
                    <w:jc w:val="center"/>
                    <w:textAlignment w:val="baseline"/>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名称</w:t>
                  </w:r>
                </w:p>
              </w:tc>
              <w:tc>
                <w:tcPr>
                  <w:tcW w:w="3836" w:type="dxa"/>
                  <w:vAlign w:val="center"/>
                </w:tcPr>
                <w:p>
                  <w:pPr>
                    <w:spacing w:line="240" w:lineRule="exact"/>
                    <w:jc w:val="center"/>
                    <w:textAlignment w:val="baseline"/>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处理方式</w:t>
                  </w:r>
                </w:p>
              </w:tc>
              <w:tc>
                <w:tcPr>
                  <w:tcW w:w="1444" w:type="dxa"/>
                  <w:vAlign w:val="center"/>
                </w:tcPr>
                <w:p>
                  <w:pPr>
                    <w:spacing w:line="240" w:lineRule="exact"/>
                    <w:jc w:val="center"/>
                    <w:textAlignment w:val="baseline"/>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投资（万元）</w:t>
                  </w:r>
                </w:p>
              </w:tc>
              <w:tc>
                <w:tcPr>
                  <w:tcW w:w="1648" w:type="dxa"/>
                  <w:vAlign w:val="center"/>
                </w:tcPr>
                <w:p>
                  <w:pPr>
                    <w:spacing w:line="240" w:lineRule="exact"/>
                    <w:jc w:val="center"/>
                    <w:textAlignment w:val="baseline"/>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三同时进度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642" w:type="dxa"/>
                  <w:vAlign w:val="center"/>
                </w:tcPr>
                <w:p>
                  <w:pPr>
                    <w:spacing w:line="240" w:lineRule="exact"/>
                    <w:jc w:val="center"/>
                    <w:textAlignment w:val="baseline"/>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1</w:t>
                  </w:r>
                </w:p>
              </w:tc>
              <w:tc>
                <w:tcPr>
                  <w:tcW w:w="1210" w:type="dxa"/>
                  <w:vAlign w:val="center"/>
                </w:tcPr>
                <w:p>
                  <w:pPr>
                    <w:autoSpaceDE w:val="0"/>
                    <w:autoSpaceDN w:val="0"/>
                    <w:spacing w:line="240" w:lineRule="atLeast"/>
                    <w:jc w:val="center"/>
                    <w:rPr>
                      <w:rFonts w:hint="default" w:ascii="Times New Roman" w:hAnsi="Times New Roman" w:eastAsia="宋体" w:cs="Times New Roman"/>
                      <w:bCs/>
                      <w:sz w:val="21"/>
                      <w:szCs w:val="21"/>
                      <w:highlight w:val="none"/>
                    </w:rPr>
                  </w:pPr>
                  <w:r>
                    <w:rPr>
                      <w:rFonts w:ascii="Times New Roman" w:hAnsi="Times New Roman" w:eastAsia="宋体" w:cs="Times New Roman"/>
                      <w:kern w:val="0"/>
                      <w:sz w:val="21"/>
                      <w:szCs w:val="21"/>
                      <w:highlight w:val="none"/>
                    </w:rPr>
                    <w:t>废气</w:t>
                  </w:r>
                </w:p>
              </w:tc>
              <w:tc>
                <w:tcPr>
                  <w:tcW w:w="3836" w:type="dxa"/>
                  <w:vAlign w:val="center"/>
                </w:tcPr>
                <w:p>
                  <w:pPr>
                    <w:autoSpaceDE w:val="0"/>
                    <w:autoSpaceDN w:val="0"/>
                    <w:spacing w:line="240" w:lineRule="atLeast"/>
                    <w:jc w:val="both"/>
                    <w:rPr>
                      <w:rFonts w:hint="default" w:ascii="Times New Roman" w:hAnsi="Times New Roman" w:eastAsia="宋体" w:cs="Times New Roman"/>
                      <w:bCs/>
                      <w:sz w:val="21"/>
                      <w:szCs w:val="21"/>
                      <w:highlight w:val="none"/>
                    </w:rPr>
                  </w:pPr>
                  <w:r>
                    <w:rPr>
                      <w:rFonts w:hint="eastAsia" w:ascii="Times New Roman" w:hAnsi="Times New Roman" w:eastAsia="宋体" w:cs="Times New Roman"/>
                      <w:kern w:val="0"/>
                      <w:sz w:val="21"/>
                      <w:szCs w:val="21"/>
                      <w:highlight w:val="none"/>
                      <w:lang w:val="en-US" w:eastAsia="zh-CN"/>
                    </w:rPr>
                    <w:t>依托现有二级活性炭吸附装置及DA001排气筒，新增</w:t>
                  </w:r>
                  <w:r>
                    <w:rPr>
                      <w:rFonts w:ascii="Times New Roman" w:hAnsi="Times New Roman" w:eastAsia="宋体" w:cs="Times New Roman"/>
                      <w:kern w:val="0"/>
                      <w:sz w:val="21"/>
                      <w:szCs w:val="21"/>
                      <w:highlight w:val="none"/>
                    </w:rPr>
                    <w:t>废气</w:t>
                  </w:r>
                  <w:r>
                    <w:rPr>
                      <w:rFonts w:hint="eastAsia" w:ascii="Times New Roman" w:hAnsi="Times New Roman" w:eastAsia="宋体" w:cs="Times New Roman"/>
                      <w:kern w:val="0"/>
                      <w:sz w:val="21"/>
                      <w:szCs w:val="21"/>
                      <w:highlight w:val="none"/>
                    </w:rPr>
                    <w:t>收集</w:t>
                  </w:r>
                  <w:r>
                    <w:rPr>
                      <w:rFonts w:hint="eastAsia" w:ascii="Times New Roman" w:hAnsi="Times New Roman" w:eastAsia="宋体" w:cs="Times New Roman"/>
                      <w:kern w:val="0"/>
                      <w:sz w:val="21"/>
                      <w:szCs w:val="21"/>
                      <w:highlight w:val="none"/>
                      <w:lang w:val="en-US" w:eastAsia="zh-CN"/>
                    </w:rPr>
                    <w:t>管道</w:t>
                  </w:r>
                  <w:r>
                    <w:rPr>
                      <w:rFonts w:hint="eastAsia" w:ascii="Times New Roman" w:hAnsi="Times New Roman" w:eastAsia="宋体" w:cs="Times New Roman"/>
                      <w:kern w:val="0"/>
                      <w:sz w:val="21"/>
                      <w:szCs w:val="21"/>
                      <w:highlight w:val="none"/>
                      <w:lang w:eastAsia="zh-CN"/>
                    </w:rPr>
                    <w:t>。</w:t>
                  </w:r>
                </w:p>
              </w:tc>
              <w:tc>
                <w:tcPr>
                  <w:tcW w:w="1444" w:type="dxa"/>
                  <w:vAlign w:val="center"/>
                </w:tcPr>
                <w:p>
                  <w:pPr>
                    <w:spacing w:line="240" w:lineRule="exact"/>
                    <w:jc w:val="center"/>
                    <w:textAlignment w:val="baseline"/>
                    <w:rPr>
                      <w:rFonts w:hint="default" w:ascii="Times New Roman" w:hAnsi="Times New Roman" w:eastAsia="宋体" w:cs="Times New Roman"/>
                      <w:bCs/>
                      <w:sz w:val="21"/>
                      <w:szCs w:val="21"/>
                      <w:highlight w:val="none"/>
                      <w:lang w:val="en-US" w:eastAsia="zh-CN"/>
                    </w:rPr>
                  </w:pPr>
                  <w:r>
                    <w:rPr>
                      <w:rFonts w:hint="eastAsia" w:ascii="Times New Roman" w:hAnsi="Times New Roman" w:eastAsia="宋体" w:cs="Times New Roman"/>
                      <w:bCs/>
                      <w:sz w:val="21"/>
                      <w:szCs w:val="21"/>
                      <w:highlight w:val="none"/>
                      <w:lang w:val="en-US" w:eastAsia="zh-CN"/>
                    </w:rPr>
                    <w:t>10</w:t>
                  </w:r>
                </w:p>
              </w:tc>
              <w:tc>
                <w:tcPr>
                  <w:tcW w:w="1648" w:type="dxa"/>
                  <w:vMerge w:val="restart"/>
                  <w:vAlign w:val="center"/>
                </w:tcPr>
                <w:p>
                  <w:pPr>
                    <w:spacing w:line="240" w:lineRule="exact"/>
                    <w:jc w:val="both"/>
                    <w:textAlignment w:val="baseline"/>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与建设项目同时设计、同时施工、同时投产使用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75" w:hRule="atLeast"/>
                <w:jc w:val="center"/>
              </w:trPr>
              <w:tc>
                <w:tcPr>
                  <w:tcW w:w="642" w:type="dxa"/>
                  <w:vAlign w:val="center"/>
                </w:tcPr>
                <w:p>
                  <w:pPr>
                    <w:spacing w:line="240" w:lineRule="exact"/>
                    <w:jc w:val="center"/>
                    <w:textAlignment w:val="baseline"/>
                    <w:rPr>
                      <w:rFonts w:hint="default" w:ascii="Times New Roman" w:hAnsi="Times New Roman" w:eastAsia="宋体" w:cs="Times New Roman"/>
                      <w:bCs/>
                      <w:sz w:val="21"/>
                      <w:szCs w:val="21"/>
                      <w:highlight w:val="none"/>
                      <w:lang w:eastAsia="zh-CN"/>
                    </w:rPr>
                  </w:pPr>
                  <w:r>
                    <w:rPr>
                      <w:rFonts w:hint="default" w:ascii="Times New Roman" w:hAnsi="Times New Roman" w:eastAsia="宋体" w:cs="Times New Roman"/>
                      <w:bCs/>
                      <w:sz w:val="21"/>
                      <w:szCs w:val="21"/>
                      <w:highlight w:val="none"/>
                      <w:lang w:val="en-US" w:eastAsia="zh-CN"/>
                    </w:rPr>
                    <w:t>2</w:t>
                  </w:r>
                </w:p>
              </w:tc>
              <w:tc>
                <w:tcPr>
                  <w:tcW w:w="1210" w:type="dxa"/>
                  <w:vAlign w:val="center"/>
                </w:tcPr>
                <w:p>
                  <w:pPr>
                    <w:autoSpaceDE w:val="0"/>
                    <w:autoSpaceDN w:val="0"/>
                    <w:spacing w:line="240" w:lineRule="atLeast"/>
                    <w:jc w:val="center"/>
                    <w:rPr>
                      <w:rFonts w:hint="default" w:ascii="Times New Roman" w:hAnsi="Times New Roman" w:eastAsia="宋体" w:cs="Times New Roman"/>
                      <w:bCs/>
                      <w:sz w:val="21"/>
                      <w:szCs w:val="21"/>
                      <w:highlight w:val="none"/>
                    </w:rPr>
                  </w:pPr>
                  <w:r>
                    <w:rPr>
                      <w:rFonts w:hint="eastAsia" w:ascii="Times New Roman" w:hAnsi="Times New Roman" w:eastAsia="宋体" w:cs="Times New Roman"/>
                      <w:kern w:val="0"/>
                      <w:sz w:val="21"/>
                      <w:szCs w:val="21"/>
                      <w:highlight w:val="none"/>
                    </w:rPr>
                    <w:t>废水</w:t>
                  </w:r>
                </w:p>
              </w:tc>
              <w:tc>
                <w:tcPr>
                  <w:tcW w:w="3836" w:type="dxa"/>
                  <w:vAlign w:val="center"/>
                </w:tcPr>
                <w:p>
                  <w:pPr>
                    <w:autoSpaceDE w:val="0"/>
                    <w:autoSpaceDN w:val="0"/>
                    <w:spacing w:line="240" w:lineRule="atLeast"/>
                    <w:jc w:val="center"/>
                    <w:rPr>
                      <w:rFonts w:hint="eastAsia" w:ascii="Times New Roman" w:hAnsi="Times New Roman" w:eastAsia="宋体" w:cs="Times New Roman"/>
                      <w:bCs/>
                      <w:sz w:val="21"/>
                      <w:szCs w:val="21"/>
                      <w:highlight w:val="none"/>
                      <w:lang w:val="en-US" w:eastAsia="zh-CN"/>
                    </w:rPr>
                  </w:pPr>
                  <w:r>
                    <w:rPr>
                      <w:rFonts w:hint="eastAsia" w:ascii="Times New Roman" w:hAnsi="Times New Roman" w:eastAsia="宋体" w:cs="Times New Roman"/>
                      <w:kern w:val="0"/>
                      <w:sz w:val="21"/>
                      <w:szCs w:val="21"/>
                      <w:highlight w:val="none"/>
                    </w:rPr>
                    <w:t>化粪池</w:t>
                  </w:r>
                </w:p>
              </w:tc>
              <w:tc>
                <w:tcPr>
                  <w:tcW w:w="1444" w:type="dxa"/>
                  <w:vAlign w:val="center"/>
                </w:tcPr>
                <w:p>
                  <w:pPr>
                    <w:spacing w:line="240" w:lineRule="exact"/>
                    <w:jc w:val="center"/>
                    <w:textAlignment w:val="baseline"/>
                    <w:rPr>
                      <w:rFonts w:hint="default" w:ascii="Times New Roman" w:hAnsi="Times New Roman" w:eastAsia="宋体" w:cs="Times New Roman"/>
                      <w:bCs/>
                      <w:sz w:val="21"/>
                      <w:szCs w:val="21"/>
                      <w:highlight w:val="none"/>
                      <w:lang w:val="en-US" w:eastAsia="zh-CN"/>
                    </w:rPr>
                  </w:pPr>
                  <w:r>
                    <w:rPr>
                      <w:rFonts w:hint="eastAsia" w:ascii="Times New Roman" w:hAnsi="Times New Roman" w:eastAsia="宋体" w:cs="Times New Roman"/>
                      <w:bCs/>
                      <w:sz w:val="21"/>
                      <w:szCs w:val="21"/>
                      <w:highlight w:val="none"/>
                      <w:lang w:val="en-US" w:eastAsia="zh-CN"/>
                    </w:rPr>
                    <w:t>依托现有</w:t>
                  </w:r>
                </w:p>
              </w:tc>
              <w:tc>
                <w:tcPr>
                  <w:tcW w:w="1648" w:type="dxa"/>
                  <w:vMerge w:val="continue"/>
                  <w:vAlign w:val="center"/>
                </w:tcPr>
                <w:p>
                  <w:pPr>
                    <w:spacing w:line="240" w:lineRule="exact"/>
                    <w:jc w:val="center"/>
                    <w:textAlignment w:val="baseline"/>
                    <w:rPr>
                      <w:rFonts w:hint="default" w:ascii="Times New Roman" w:hAnsi="Times New Roman" w:eastAsia="宋体" w:cs="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0" w:hRule="atLeast"/>
                <w:jc w:val="center"/>
              </w:trPr>
              <w:tc>
                <w:tcPr>
                  <w:tcW w:w="642" w:type="dxa"/>
                  <w:vAlign w:val="center"/>
                </w:tcPr>
                <w:p>
                  <w:pPr>
                    <w:spacing w:line="240" w:lineRule="exact"/>
                    <w:jc w:val="center"/>
                    <w:textAlignment w:val="baseline"/>
                    <w:rPr>
                      <w:rFonts w:hint="default" w:ascii="Times New Roman" w:hAnsi="Times New Roman" w:eastAsia="宋体" w:cs="Times New Roman"/>
                      <w:bCs/>
                      <w:sz w:val="21"/>
                      <w:szCs w:val="21"/>
                      <w:highlight w:val="none"/>
                      <w:lang w:eastAsia="zh-CN"/>
                    </w:rPr>
                  </w:pPr>
                  <w:r>
                    <w:rPr>
                      <w:rFonts w:hint="default" w:ascii="Times New Roman" w:hAnsi="Times New Roman" w:eastAsia="宋体" w:cs="Times New Roman"/>
                      <w:bCs/>
                      <w:sz w:val="21"/>
                      <w:szCs w:val="21"/>
                      <w:highlight w:val="none"/>
                      <w:lang w:val="en-US" w:eastAsia="zh-CN"/>
                    </w:rPr>
                    <w:t>3</w:t>
                  </w:r>
                </w:p>
              </w:tc>
              <w:tc>
                <w:tcPr>
                  <w:tcW w:w="1210" w:type="dxa"/>
                  <w:vAlign w:val="center"/>
                </w:tcPr>
                <w:p>
                  <w:pPr>
                    <w:autoSpaceDE w:val="0"/>
                    <w:autoSpaceDN w:val="0"/>
                    <w:spacing w:line="240" w:lineRule="atLeast"/>
                    <w:jc w:val="center"/>
                    <w:rPr>
                      <w:rFonts w:hint="default" w:ascii="Times New Roman" w:hAnsi="Times New Roman" w:eastAsia="宋体" w:cs="Times New Roman"/>
                      <w:bCs/>
                      <w:sz w:val="21"/>
                      <w:szCs w:val="21"/>
                      <w:highlight w:val="none"/>
                    </w:rPr>
                  </w:pPr>
                  <w:r>
                    <w:rPr>
                      <w:rFonts w:ascii="Times New Roman" w:hAnsi="Times New Roman" w:eastAsia="宋体" w:cs="Times New Roman"/>
                      <w:kern w:val="0"/>
                      <w:sz w:val="21"/>
                      <w:szCs w:val="21"/>
                      <w:highlight w:val="none"/>
                    </w:rPr>
                    <w:t>噪声</w:t>
                  </w:r>
                </w:p>
              </w:tc>
              <w:tc>
                <w:tcPr>
                  <w:tcW w:w="3836" w:type="dxa"/>
                  <w:vAlign w:val="center"/>
                </w:tcPr>
                <w:p>
                  <w:pPr>
                    <w:autoSpaceDE w:val="0"/>
                    <w:autoSpaceDN w:val="0"/>
                    <w:spacing w:line="240" w:lineRule="atLeast"/>
                    <w:jc w:val="center"/>
                    <w:rPr>
                      <w:rFonts w:hint="eastAsia" w:ascii="Times New Roman" w:hAnsi="Times New Roman" w:eastAsia="宋体" w:cs="Times New Roman"/>
                      <w:bCs/>
                      <w:sz w:val="21"/>
                      <w:szCs w:val="21"/>
                      <w:highlight w:val="none"/>
                    </w:rPr>
                  </w:pPr>
                  <w:r>
                    <w:rPr>
                      <w:rFonts w:hint="eastAsia" w:ascii="Times New Roman" w:hAnsi="Times New Roman" w:eastAsia="宋体" w:cs="Times New Roman"/>
                      <w:kern w:val="0"/>
                      <w:sz w:val="21"/>
                      <w:szCs w:val="21"/>
                      <w:highlight w:val="none"/>
                      <w:lang w:val="en-US" w:eastAsia="zh-CN"/>
                    </w:rPr>
                    <w:t>选用低噪声设备、基础减震、厂房隔声</w:t>
                  </w:r>
                </w:p>
              </w:tc>
              <w:tc>
                <w:tcPr>
                  <w:tcW w:w="1444" w:type="dxa"/>
                  <w:vAlign w:val="center"/>
                </w:tcPr>
                <w:p>
                  <w:pPr>
                    <w:spacing w:line="240" w:lineRule="exact"/>
                    <w:jc w:val="center"/>
                    <w:textAlignment w:val="baseline"/>
                    <w:rPr>
                      <w:rFonts w:hint="default" w:ascii="Times New Roman" w:hAnsi="Times New Roman" w:eastAsia="宋体" w:cs="Times New Roman"/>
                      <w:bCs/>
                      <w:sz w:val="21"/>
                      <w:szCs w:val="21"/>
                      <w:highlight w:val="none"/>
                      <w:lang w:val="en-US" w:eastAsia="zh-CN"/>
                    </w:rPr>
                  </w:pPr>
                  <w:r>
                    <w:rPr>
                      <w:rFonts w:hint="eastAsia" w:ascii="Times New Roman" w:hAnsi="Times New Roman" w:eastAsia="宋体" w:cs="Times New Roman"/>
                      <w:bCs/>
                      <w:sz w:val="21"/>
                      <w:szCs w:val="21"/>
                      <w:highlight w:val="none"/>
                      <w:lang w:val="en-US" w:eastAsia="zh-CN"/>
                    </w:rPr>
                    <w:t>5</w:t>
                  </w:r>
                </w:p>
              </w:tc>
              <w:tc>
                <w:tcPr>
                  <w:tcW w:w="1648" w:type="dxa"/>
                  <w:vMerge w:val="continue"/>
                  <w:vAlign w:val="center"/>
                </w:tcPr>
                <w:p>
                  <w:pPr>
                    <w:spacing w:line="240" w:lineRule="exact"/>
                    <w:jc w:val="center"/>
                    <w:textAlignment w:val="baseline"/>
                    <w:rPr>
                      <w:rFonts w:hint="default" w:ascii="Times New Roman" w:hAnsi="Times New Roman" w:eastAsia="宋体" w:cs="Times New Roman"/>
                      <w:bCs/>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0" w:hRule="atLeast"/>
                <w:jc w:val="center"/>
              </w:trPr>
              <w:tc>
                <w:tcPr>
                  <w:tcW w:w="642" w:type="dxa"/>
                  <w:vAlign w:val="center"/>
                </w:tcPr>
                <w:p>
                  <w:pPr>
                    <w:contextualSpacing/>
                    <w:jc w:val="center"/>
                    <w:textAlignment w:val="baseline"/>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sz w:val="21"/>
                      <w:szCs w:val="21"/>
                      <w:highlight w:val="none"/>
                    </w:rPr>
                    <w:t>4</w:t>
                  </w:r>
                </w:p>
              </w:tc>
              <w:tc>
                <w:tcPr>
                  <w:tcW w:w="1210" w:type="dxa"/>
                  <w:vAlign w:val="center"/>
                </w:tcPr>
                <w:p>
                  <w:pPr>
                    <w:autoSpaceDE w:val="0"/>
                    <w:autoSpaceDN w:val="0"/>
                    <w:spacing w:line="240" w:lineRule="atLeast"/>
                    <w:jc w:val="center"/>
                    <w:rPr>
                      <w:rFonts w:hint="default" w:ascii="Times New Roman" w:hAnsi="Times New Roman" w:eastAsia="宋体" w:cs="Times New Roman"/>
                      <w:bCs/>
                      <w:sz w:val="21"/>
                      <w:szCs w:val="21"/>
                      <w:highlight w:val="none"/>
                    </w:rPr>
                  </w:pPr>
                  <w:r>
                    <w:rPr>
                      <w:rFonts w:ascii="Times New Roman" w:hAnsi="Times New Roman" w:eastAsia="宋体" w:cs="Times New Roman"/>
                      <w:kern w:val="0"/>
                      <w:sz w:val="21"/>
                      <w:szCs w:val="21"/>
                      <w:highlight w:val="none"/>
                    </w:rPr>
                    <w:t>固废</w:t>
                  </w:r>
                </w:p>
              </w:tc>
              <w:tc>
                <w:tcPr>
                  <w:tcW w:w="3836" w:type="dxa"/>
                  <w:vAlign w:val="center"/>
                </w:tcPr>
                <w:p>
                  <w:pPr>
                    <w:autoSpaceDE w:val="0"/>
                    <w:autoSpaceDN w:val="0"/>
                    <w:spacing w:line="240" w:lineRule="atLeast"/>
                    <w:jc w:val="center"/>
                    <w:rPr>
                      <w:rFonts w:hint="eastAsia" w:ascii="Times New Roman" w:hAnsi="Times New Roman" w:eastAsia="宋体" w:cs="Times New Roman"/>
                      <w:bCs/>
                      <w:sz w:val="21"/>
                      <w:szCs w:val="21"/>
                      <w:highlight w:val="none"/>
                    </w:rPr>
                  </w:pPr>
                  <w:r>
                    <w:rPr>
                      <w:rFonts w:hint="default" w:ascii="Times New Roman" w:hAnsi="Times New Roman" w:eastAsia="宋体" w:cs="Times New Roman"/>
                      <w:sz w:val="21"/>
                      <w:szCs w:val="21"/>
                      <w:highlight w:val="none"/>
                      <w:lang w:val="en-US" w:eastAsia="zh-CN"/>
                    </w:rPr>
                    <w:t>危废暂存、一般固废暂存</w:t>
                  </w:r>
                  <w:r>
                    <w:rPr>
                      <w:rFonts w:hint="eastAsia" w:ascii="Times New Roman" w:hAnsi="Times New Roman" w:eastAsia="宋体" w:cs="Times New Roman"/>
                      <w:sz w:val="21"/>
                      <w:szCs w:val="21"/>
                      <w:highlight w:val="none"/>
                      <w:lang w:val="en-US" w:eastAsia="zh-CN"/>
                    </w:rPr>
                    <w:t>，危废委托处理</w:t>
                  </w:r>
                </w:p>
              </w:tc>
              <w:tc>
                <w:tcPr>
                  <w:tcW w:w="1444" w:type="dxa"/>
                  <w:vAlign w:val="center"/>
                </w:tcPr>
                <w:p>
                  <w:pPr>
                    <w:spacing w:line="240" w:lineRule="exact"/>
                    <w:jc w:val="center"/>
                    <w:textAlignment w:val="baseline"/>
                    <w:rPr>
                      <w:rFonts w:hint="default" w:ascii="Times New Roman" w:hAnsi="Times New Roman" w:eastAsia="宋体" w:cs="Times New Roman"/>
                      <w:bCs/>
                      <w:sz w:val="21"/>
                      <w:szCs w:val="21"/>
                      <w:highlight w:val="none"/>
                      <w:lang w:val="en-US" w:eastAsia="zh-CN"/>
                    </w:rPr>
                  </w:pPr>
                  <w:r>
                    <w:rPr>
                      <w:rFonts w:hint="eastAsia" w:ascii="Times New Roman" w:hAnsi="Times New Roman" w:eastAsia="宋体" w:cs="Times New Roman"/>
                      <w:bCs/>
                      <w:sz w:val="21"/>
                      <w:szCs w:val="21"/>
                      <w:highlight w:val="none"/>
                      <w:lang w:val="en-US" w:eastAsia="zh-CN"/>
                    </w:rPr>
                    <w:t>5</w:t>
                  </w:r>
                </w:p>
              </w:tc>
              <w:tc>
                <w:tcPr>
                  <w:tcW w:w="1648" w:type="dxa"/>
                  <w:vMerge w:val="continue"/>
                  <w:vAlign w:val="center"/>
                </w:tcPr>
                <w:p>
                  <w:pPr>
                    <w:spacing w:line="240" w:lineRule="exact"/>
                    <w:jc w:val="center"/>
                    <w:textAlignment w:val="baseline"/>
                    <w:rPr>
                      <w:rFonts w:hint="default" w:ascii="Times New Roman" w:hAnsi="Times New Roman" w:eastAsia="宋体" w:cs="Times New Roman"/>
                      <w:bCs/>
                      <w:sz w:val="21"/>
                      <w:szCs w:val="21"/>
                      <w:highlight w:val="none"/>
                    </w:rPr>
                  </w:pPr>
                </w:p>
              </w:tc>
            </w:tr>
          </w:tbl>
          <w:p>
            <w:pPr>
              <w:pStyle w:val="7"/>
              <w:spacing w:line="360" w:lineRule="auto"/>
              <w:ind w:firstLine="480" w:firstLineChars="200"/>
              <w:jc w:val="both"/>
              <w:rPr>
                <w:rFonts w:hint="default" w:ascii="Times New Roman" w:hAnsi="Times New Roman" w:cs="Times New Roman"/>
                <w:color w:val="auto"/>
                <w:szCs w:val="22"/>
                <w:lang w:eastAsia="zh-CN"/>
              </w:rPr>
            </w:pPr>
            <w:r>
              <w:rPr>
                <w:rFonts w:hint="default" w:ascii="Times New Roman" w:hAnsi="Times New Roman" w:cs="Times New Roman"/>
                <w:color w:val="auto"/>
                <w:szCs w:val="22"/>
                <w:lang w:eastAsia="zh-CN"/>
              </w:rPr>
              <w:t>该项目已按国家有关建设项目环境管理法规要求，进行了环境影响评价，工程相应的环保设施与主体工程同时设计、同时施工、同时投入使用，较好地执行了</w:t>
            </w:r>
            <w:r>
              <w:rPr>
                <w:rFonts w:hint="eastAsia" w:ascii="Times New Roman" w:hAnsi="Times New Roman" w:cs="Times New Roman"/>
                <w:color w:val="auto"/>
                <w:szCs w:val="22"/>
                <w:lang w:eastAsia="zh-CN"/>
              </w:rPr>
              <w:t>“</w:t>
            </w:r>
            <w:r>
              <w:rPr>
                <w:rFonts w:hint="default" w:ascii="Times New Roman" w:hAnsi="Times New Roman" w:cs="Times New Roman"/>
                <w:color w:val="auto"/>
                <w:szCs w:val="22"/>
                <w:lang w:eastAsia="zh-CN"/>
              </w:rPr>
              <w:t>三同时</w:t>
            </w:r>
            <w:r>
              <w:rPr>
                <w:rFonts w:hint="eastAsia" w:ascii="Times New Roman" w:hAnsi="Times New Roman" w:cs="Times New Roman"/>
                <w:color w:val="auto"/>
                <w:szCs w:val="22"/>
                <w:lang w:eastAsia="zh-CN"/>
              </w:rPr>
              <w:t>”</w:t>
            </w:r>
            <w:r>
              <w:rPr>
                <w:rFonts w:hint="default" w:ascii="Times New Roman" w:hAnsi="Times New Roman" w:cs="Times New Roman"/>
                <w:color w:val="auto"/>
                <w:szCs w:val="22"/>
                <w:lang w:eastAsia="zh-CN"/>
              </w:rPr>
              <w:t>制度。项目</w:t>
            </w:r>
            <w:r>
              <w:rPr>
                <w:rFonts w:hint="eastAsia" w:ascii="Times New Roman" w:hAnsi="Times New Roman" w:cs="Times New Roman"/>
                <w:color w:val="auto"/>
                <w:szCs w:val="22"/>
                <w:lang w:eastAsia="zh-CN"/>
              </w:rPr>
              <w:t>“</w:t>
            </w:r>
            <w:r>
              <w:rPr>
                <w:rFonts w:hint="default" w:ascii="Times New Roman" w:hAnsi="Times New Roman" w:cs="Times New Roman"/>
                <w:color w:val="auto"/>
                <w:szCs w:val="22"/>
                <w:lang w:eastAsia="zh-CN"/>
              </w:rPr>
              <w:t>三同时</w:t>
            </w:r>
            <w:r>
              <w:rPr>
                <w:rFonts w:hint="eastAsia" w:ascii="Times New Roman" w:hAnsi="Times New Roman" w:cs="Times New Roman"/>
                <w:color w:val="auto"/>
                <w:szCs w:val="22"/>
                <w:lang w:eastAsia="zh-CN"/>
              </w:rPr>
              <w:t>”</w:t>
            </w:r>
            <w:r>
              <w:rPr>
                <w:rFonts w:hint="default" w:ascii="Times New Roman" w:hAnsi="Times New Roman" w:cs="Times New Roman"/>
                <w:color w:val="auto"/>
                <w:szCs w:val="22"/>
                <w:lang w:eastAsia="zh-CN"/>
              </w:rPr>
              <w:t>验收情况见表</w:t>
            </w:r>
            <w:r>
              <w:rPr>
                <w:rFonts w:hint="eastAsia" w:ascii="Times New Roman" w:hAnsi="Times New Roman" w:cs="Times New Roman"/>
                <w:color w:val="auto"/>
                <w:szCs w:val="22"/>
                <w:lang w:val="en-US" w:eastAsia="zh-CN"/>
              </w:rPr>
              <w:t>4-2</w:t>
            </w:r>
            <w:r>
              <w:rPr>
                <w:rFonts w:hint="default" w:ascii="Times New Roman" w:hAnsi="Times New Roman" w:cs="Times New Roman"/>
                <w:color w:val="auto"/>
                <w:szCs w:val="22"/>
                <w:lang w:eastAsia="zh-CN"/>
              </w:rPr>
              <w:t>。</w:t>
            </w:r>
          </w:p>
          <w:p>
            <w:pPr>
              <w:pStyle w:val="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Cs w:val="22"/>
                <w:lang w:eastAsia="zh-CN"/>
              </w:rPr>
            </w:pPr>
            <w:r>
              <w:rPr>
                <w:rFonts w:hint="eastAsia" w:ascii="宋体" w:hAnsi="宋体" w:eastAsia="宋体" w:cs="宋体"/>
                <w:b/>
                <w:bCs/>
                <w:color w:val="auto"/>
                <w:szCs w:val="22"/>
                <w:lang w:eastAsia="zh-CN"/>
              </w:rPr>
              <w:t>表</w:t>
            </w:r>
            <w:r>
              <w:rPr>
                <w:rFonts w:hint="default" w:ascii="Times New Roman" w:hAnsi="Times New Roman" w:cs="Times New Roman"/>
                <w:b/>
                <w:bCs/>
                <w:color w:val="auto"/>
                <w:szCs w:val="22"/>
                <w:lang w:val="en-US" w:eastAsia="zh-CN"/>
              </w:rPr>
              <w:t>4-2</w:t>
            </w:r>
            <w:r>
              <w:rPr>
                <w:rFonts w:hint="default" w:ascii="Times New Roman" w:hAnsi="Times New Roman" w:eastAsia="宋体" w:cs="Times New Roman"/>
                <w:b/>
                <w:bCs/>
                <w:color w:val="auto"/>
                <w:szCs w:val="22"/>
                <w:lang w:eastAsia="zh-CN"/>
              </w:rPr>
              <w:t xml:space="preserve"> </w:t>
            </w:r>
            <w:r>
              <w:rPr>
                <w:rFonts w:hint="eastAsia" w:ascii="宋体" w:hAnsi="宋体" w:eastAsia="宋体" w:cs="宋体"/>
                <w:b/>
                <w:bCs/>
                <w:color w:val="auto"/>
                <w:szCs w:val="22"/>
                <w:lang w:eastAsia="zh-CN"/>
              </w:rPr>
              <w:t xml:space="preserve"> “三同时”验收情况一览表</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1414"/>
              <w:gridCol w:w="2141"/>
              <w:gridCol w:w="785"/>
              <w:gridCol w:w="1060"/>
              <w:gridCol w:w="28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tcBorders>
                    <w:tl2br w:val="nil"/>
                    <w:tr2bl w:val="nil"/>
                  </w:tcBorders>
                  <w:vAlign w:val="center"/>
                </w:tcPr>
                <w:p>
                  <w:pPr>
                    <w:adjustRightInd w:val="0"/>
                    <w:snapToGrid w:val="0"/>
                    <w:jc w:val="center"/>
                    <w:rPr>
                      <w:rFonts w:ascii="Times New Roman" w:hAnsi="Times New Roman"/>
                      <w:b/>
                      <w:bCs/>
                      <w:sz w:val="21"/>
                      <w:szCs w:val="21"/>
                    </w:rPr>
                  </w:pPr>
                  <w:r>
                    <w:rPr>
                      <w:rFonts w:ascii="Times New Roman" w:hAnsi="Times New Roman"/>
                      <w:b/>
                      <w:bCs/>
                      <w:sz w:val="21"/>
                      <w:szCs w:val="21"/>
                    </w:rPr>
                    <w:t>项目</w:t>
                  </w:r>
                </w:p>
              </w:tc>
              <w:tc>
                <w:tcPr>
                  <w:tcW w:w="1414" w:type="dxa"/>
                  <w:tcBorders>
                    <w:tl2br w:val="nil"/>
                    <w:tr2bl w:val="nil"/>
                  </w:tcBorders>
                  <w:vAlign w:val="center"/>
                </w:tcPr>
                <w:p>
                  <w:pPr>
                    <w:adjustRightInd w:val="0"/>
                    <w:snapToGrid w:val="0"/>
                    <w:jc w:val="center"/>
                    <w:rPr>
                      <w:rFonts w:ascii="Times New Roman" w:hAnsi="Times New Roman"/>
                      <w:b/>
                      <w:bCs/>
                      <w:sz w:val="21"/>
                      <w:szCs w:val="21"/>
                    </w:rPr>
                  </w:pPr>
                  <w:r>
                    <w:rPr>
                      <w:rFonts w:ascii="Times New Roman" w:hAnsi="Times New Roman"/>
                      <w:b/>
                      <w:bCs/>
                      <w:sz w:val="21"/>
                      <w:szCs w:val="21"/>
                    </w:rPr>
                    <w:t>治理内容</w:t>
                  </w:r>
                </w:p>
              </w:tc>
              <w:tc>
                <w:tcPr>
                  <w:tcW w:w="2141" w:type="dxa"/>
                  <w:tcBorders>
                    <w:tl2br w:val="nil"/>
                    <w:tr2bl w:val="nil"/>
                  </w:tcBorders>
                  <w:vAlign w:val="center"/>
                </w:tcPr>
                <w:p>
                  <w:pPr>
                    <w:adjustRightInd w:val="0"/>
                    <w:snapToGrid w:val="0"/>
                    <w:jc w:val="center"/>
                    <w:rPr>
                      <w:rFonts w:ascii="Times New Roman" w:hAnsi="Times New Roman"/>
                      <w:b/>
                      <w:bCs/>
                      <w:sz w:val="21"/>
                      <w:szCs w:val="21"/>
                    </w:rPr>
                  </w:pPr>
                  <w:r>
                    <w:rPr>
                      <w:rFonts w:ascii="Times New Roman" w:hAnsi="Times New Roman"/>
                      <w:b/>
                      <w:bCs/>
                      <w:sz w:val="21"/>
                      <w:szCs w:val="21"/>
                    </w:rPr>
                    <w:t>治理措施</w:t>
                  </w:r>
                </w:p>
              </w:tc>
              <w:tc>
                <w:tcPr>
                  <w:tcW w:w="785" w:type="dxa"/>
                  <w:tcBorders>
                    <w:tl2br w:val="nil"/>
                    <w:tr2bl w:val="nil"/>
                  </w:tcBorders>
                  <w:vAlign w:val="center"/>
                </w:tcPr>
                <w:p>
                  <w:pPr>
                    <w:pStyle w:val="11"/>
                    <w:spacing w:line="340" w:lineRule="exact"/>
                    <w:jc w:val="center"/>
                    <w:rPr>
                      <w:rFonts w:ascii="Times New Roman" w:hAnsi="Times New Roman"/>
                      <w:b/>
                      <w:bCs/>
                      <w:sz w:val="21"/>
                      <w:szCs w:val="21"/>
                    </w:rPr>
                  </w:pPr>
                  <w:r>
                    <w:rPr>
                      <w:rFonts w:ascii="Times New Roman" w:hAnsi="Times New Roman"/>
                      <w:b/>
                      <w:bCs/>
                      <w:sz w:val="21"/>
                      <w:szCs w:val="21"/>
                    </w:rPr>
                    <w:t>监测位置</w:t>
                  </w:r>
                </w:p>
              </w:tc>
              <w:tc>
                <w:tcPr>
                  <w:tcW w:w="1060" w:type="dxa"/>
                  <w:tcBorders>
                    <w:tl2br w:val="nil"/>
                    <w:tr2bl w:val="nil"/>
                  </w:tcBorders>
                  <w:vAlign w:val="center"/>
                </w:tcPr>
                <w:p>
                  <w:pPr>
                    <w:pStyle w:val="11"/>
                    <w:spacing w:line="340" w:lineRule="exact"/>
                    <w:jc w:val="center"/>
                    <w:rPr>
                      <w:rFonts w:ascii="Times New Roman" w:hAnsi="Times New Roman"/>
                      <w:b/>
                      <w:bCs/>
                      <w:sz w:val="21"/>
                      <w:szCs w:val="21"/>
                    </w:rPr>
                  </w:pPr>
                  <w:r>
                    <w:rPr>
                      <w:rFonts w:ascii="Times New Roman" w:hAnsi="Times New Roman"/>
                      <w:b/>
                      <w:bCs/>
                      <w:sz w:val="21"/>
                      <w:szCs w:val="21"/>
                    </w:rPr>
                    <w:t>监测</w:t>
                  </w:r>
                </w:p>
                <w:p>
                  <w:pPr>
                    <w:pStyle w:val="11"/>
                    <w:spacing w:line="340" w:lineRule="exact"/>
                    <w:jc w:val="center"/>
                    <w:rPr>
                      <w:rFonts w:ascii="Times New Roman" w:hAnsi="Times New Roman"/>
                      <w:b/>
                      <w:bCs/>
                      <w:sz w:val="21"/>
                      <w:szCs w:val="21"/>
                    </w:rPr>
                  </w:pPr>
                  <w:r>
                    <w:rPr>
                      <w:rFonts w:ascii="Times New Roman" w:hAnsi="Times New Roman"/>
                      <w:b/>
                      <w:bCs/>
                      <w:sz w:val="21"/>
                      <w:szCs w:val="21"/>
                    </w:rPr>
                    <w:t>项目</w:t>
                  </w:r>
                </w:p>
              </w:tc>
              <w:tc>
                <w:tcPr>
                  <w:tcW w:w="2891" w:type="dxa"/>
                  <w:tcBorders>
                    <w:tl2br w:val="nil"/>
                    <w:tr2bl w:val="nil"/>
                  </w:tcBorders>
                  <w:vAlign w:val="center"/>
                </w:tcPr>
                <w:p>
                  <w:pPr>
                    <w:pStyle w:val="11"/>
                    <w:spacing w:line="340" w:lineRule="exact"/>
                    <w:jc w:val="center"/>
                    <w:rPr>
                      <w:rFonts w:ascii="Times New Roman" w:hAnsi="Times New Roman"/>
                      <w:b/>
                      <w:bCs/>
                      <w:sz w:val="21"/>
                      <w:szCs w:val="21"/>
                    </w:rPr>
                  </w:pPr>
                  <w:r>
                    <w:rPr>
                      <w:rFonts w:ascii="Times New Roman" w:hAnsi="Times New Roman"/>
                      <w:b/>
                      <w:bCs/>
                      <w:sz w:val="21"/>
                      <w:szCs w:val="21"/>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489" w:type="dxa"/>
                  <w:vMerge w:val="restar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废气</w:t>
                  </w:r>
                </w:p>
              </w:tc>
              <w:tc>
                <w:tcPr>
                  <w:tcW w:w="1414" w:type="dxa"/>
                  <w:tcBorders>
                    <w:tl2br w:val="nil"/>
                    <w:tr2bl w:val="nil"/>
                  </w:tcBorders>
                  <w:tcMar>
                    <w:top w:w="0" w:type="dxa"/>
                    <w:left w:w="0" w:type="dxa"/>
                    <w:bottom w:w="0" w:type="dxa"/>
                    <w:right w:w="0" w:type="dxa"/>
                  </w:tcMar>
                  <w:vAlign w:val="center"/>
                </w:tcPr>
                <w:p>
                  <w:pPr>
                    <w:snapToGrid w:val="0"/>
                    <w:ind w:left="0" w:leftChars="0" w:right="0" w:rightChars="0"/>
                    <w:jc w:val="center"/>
                    <w:textAlignment w:val="baseline"/>
                    <w:rPr>
                      <w:rFonts w:hint="default" w:ascii="Times New Roman" w:hAnsi="Times New Roman" w:eastAsia="宋体" w:cs="宋体"/>
                      <w:sz w:val="21"/>
                      <w:szCs w:val="21"/>
                      <w:lang w:val="en-US" w:eastAsia="zh-CN" w:bidi="ar-SA"/>
                    </w:rPr>
                  </w:pPr>
                  <w:r>
                    <w:rPr>
                      <w:rFonts w:hint="eastAsia" w:cs="宋体"/>
                      <w:sz w:val="21"/>
                      <w:szCs w:val="21"/>
                      <w:lang w:val="en-US" w:eastAsia="zh-CN" w:bidi="ar-SA"/>
                    </w:rPr>
                    <w:t>注塑/吹塑废气</w:t>
                  </w:r>
                </w:p>
              </w:tc>
              <w:tc>
                <w:tcPr>
                  <w:tcW w:w="2141" w:type="dxa"/>
                  <w:tcBorders>
                    <w:tl2br w:val="nil"/>
                    <w:tr2bl w:val="nil"/>
                  </w:tcBorders>
                  <w:tcMar>
                    <w:top w:w="0" w:type="dxa"/>
                    <w:left w:w="0" w:type="dxa"/>
                    <w:bottom w:w="0" w:type="dxa"/>
                    <w:right w:w="0" w:type="dxa"/>
                  </w:tcMar>
                  <w:vAlign w:val="center"/>
                </w:tcPr>
                <w:p>
                  <w:pPr>
                    <w:ind w:left="0" w:leftChars="0" w:right="0" w:rightChars="0"/>
                    <w:jc w:val="both"/>
                    <w:rPr>
                      <w:rFonts w:ascii="Times New Roman" w:hAnsi="Times New Roman" w:eastAsia="宋体" w:cs="宋体"/>
                      <w:sz w:val="21"/>
                      <w:szCs w:val="21"/>
                      <w:lang w:val="en-US" w:eastAsia="en-US" w:bidi="ar-SA"/>
                    </w:rPr>
                  </w:pPr>
                  <w:r>
                    <w:rPr>
                      <w:rFonts w:hint="eastAsia" w:ascii="Times New Roman" w:hAnsi="Times New Roman" w:eastAsia="宋体" w:cs="宋体"/>
                      <w:sz w:val="21"/>
                      <w:szCs w:val="21"/>
                      <w:lang w:val="en-US" w:eastAsia="en-US" w:bidi="ar-SA"/>
                    </w:rPr>
                    <w:t>经负压收集后</w:t>
                  </w:r>
                  <w:r>
                    <w:rPr>
                      <w:rFonts w:hint="eastAsia" w:cs="宋体"/>
                      <w:sz w:val="21"/>
                      <w:szCs w:val="21"/>
                      <w:lang w:val="en-US" w:eastAsia="zh-CN" w:bidi="ar-SA"/>
                    </w:rPr>
                    <w:t>进入1#</w:t>
                  </w:r>
                  <w:r>
                    <w:rPr>
                      <w:rFonts w:hint="eastAsia" w:ascii="Times New Roman" w:hAnsi="Times New Roman" w:eastAsia="宋体" w:cs="宋体"/>
                      <w:sz w:val="21"/>
                      <w:szCs w:val="21"/>
                      <w:lang w:val="en-US" w:eastAsia="en-US" w:bidi="ar-SA"/>
                    </w:rPr>
                    <w:t>二级活性炭吸附装置处理后由排气筒</w:t>
                  </w:r>
                  <w:r>
                    <w:rPr>
                      <w:rFonts w:hint="eastAsia" w:cs="宋体"/>
                      <w:sz w:val="21"/>
                      <w:szCs w:val="21"/>
                      <w:lang w:val="en-US" w:eastAsia="zh-CN" w:bidi="ar-SA"/>
                    </w:rPr>
                    <w:t>DA001</w:t>
                  </w:r>
                  <w:r>
                    <w:rPr>
                      <w:rFonts w:hint="eastAsia" w:ascii="Times New Roman" w:hAnsi="Times New Roman" w:eastAsia="宋体" w:cs="宋体"/>
                      <w:sz w:val="21"/>
                      <w:szCs w:val="21"/>
                      <w:lang w:val="en-US" w:eastAsia="en-US" w:bidi="ar-SA"/>
                    </w:rPr>
                    <w:t>排放</w:t>
                  </w:r>
                </w:p>
              </w:tc>
              <w:tc>
                <w:tcPr>
                  <w:tcW w:w="785" w:type="dxa"/>
                  <w:tcBorders>
                    <w:tl2br w:val="nil"/>
                    <w:tr2bl w:val="nil"/>
                  </w:tcBorders>
                  <w:tcMar>
                    <w:top w:w="0" w:type="dxa"/>
                    <w:left w:w="0" w:type="dxa"/>
                    <w:bottom w:w="0" w:type="dxa"/>
                    <w:right w:w="0" w:type="dxa"/>
                  </w:tcMar>
                  <w:vAlign w:val="center"/>
                </w:tcPr>
                <w:p>
                  <w:pPr>
                    <w:adjustRightInd w:val="0"/>
                    <w:snapToGrid w:val="0"/>
                    <w:ind w:left="0" w:leftChars="0" w:right="0" w:rightChars="0"/>
                    <w:jc w:val="center"/>
                    <w:rPr>
                      <w:rFonts w:hint="default" w:ascii="Times New Roman" w:hAnsi="Times New Roman" w:eastAsia="宋体" w:cs="宋体"/>
                      <w:sz w:val="21"/>
                      <w:szCs w:val="21"/>
                      <w:lang w:val="en-US" w:eastAsia="zh-CN" w:bidi="ar-SA"/>
                    </w:rPr>
                  </w:pPr>
                  <w:r>
                    <w:rPr>
                      <w:rFonts w:ascii="Times New Roman" w:hAnsi="Times New Roman"/>
                      <w:sz w:val="21"/>
                      <w:szCs w:val="21"/>
                    </w:rPr>
                    <w:t>排气筒</w:t>
                  </w:r>
                  <w:r>
                    <w:rPr>
                      <w:rFonts w:hint="eastAsia" w:ascii="Times New Roman" w:hAnsi="Times New Roman"/>
                      <w:sz w:val="21"/>
                      <w:szCs w:val="21"/>
                      <w:lang w:val="en-US" w:eastAsia="zh-CN"/>
                    </w:rPr>
                    <w:t>DA00</w:t>
                  </w:r>
                  <w:r>
                    <w:rPr>
                      <w:rFonts w:hint="eastAsia"/>
                      <w:sz w:val="21"/>
                      <w:szCs w:val="21"/>
                      <w:lang w:val="en-US" w:eastAsia="zh-CN"/>
                    </w:rPr>
                    <w:t>1</w:t>
                  </w:r>
                </w:p>
              </w:tc>
              <w:tc>
                <w:tcPr>
                  <w:tcW w:w="1060" w:type="dxa"/>
                  <w:tcBorders>
                    <w:tl2br w:val="nil"/>
                    <w:tr2bl w:val="nil"/>
                  </w:tcBorders>
                  <w:tcMar>
                    <w:top w:w="0" w:type="dxa"/>
                    <w:left w:w="0" w:type="dxa"/>
                    <w:bottom w:w="0" w:type="dxa"/>
                    <w:right w:w="0" w:type="dxa"/>
                  </w:tcMar>
                  <w:vAlign w:val="center"/>
                </w:tcPr>
                <w:p>
                  <w:pPr>
                    <w:ind w:left="0" w:leftChars="0" w:right="0" w:rightChars="0"/>
                    <w:jc w:val="center"/>
                    <w:rPr>
                      <w:rFonts w:hint="default" w:ascii="Times New Roman" w:hAnsi="Times New Roman" w:eastAsia="宋体" w:cs="宋体"/>
                      <w:sz w:val="21"/>
                      <w:szCs w:val="21"/>
                      <w:lang w:val="en-US" w:eastAsia="zh-CN" w:bidi="ar-SA"/>
                    </w:rPr>
                  </w:pPr>
                  <w:r>
                    <w:rPr>
                      <w:rFonts w:hint="eastAsia" w:cs="宋体"/>
                      <w:sz w:val="21"/>
                      <w:szCs w:val="21"/>
                      <w:lang w:val="en-US" w:eastAsia="zh-CN" w:bidi="ar-SA"/>
                    </w:rPr>
                    <w:t>VOCs</w:t>
                  </w:r>
                </w:p>
              </w:tc>
              <w:tc>
                <w:tcPr>
                  <w:tcW w:w="2891" w:type="dxa"/>
                  <w:tcBorders>
                    <w:tl2br w:val="nil"/>
                    <w:tr2bl w:val="nil"/>
                  </w:tcBorders>
                  <w:tcMar>
                    <w:top w:w="0" w:type="dxa"/>
                    <w:left w:w="0" w:type="dxa"/>
                    <w:bottom w:w="0" w:type="dxa"/>
                    <w:right w:w="0" w:type="dxa"/>
                  </w:tcMar>
                  <w:vAlign w:val="center"/>
                </w:tcPr>
                <w:p>
                  <w:pPr>
                    <w:widowControl/>
                    <w:ind w:left="0" w:leftChars="0" w:right="0" w:rightChars="0"/>
                    <w:jc w:val="both"/>
                    <w:rPr>
                      <w:rFonts w:hint="default" w:ascii="Times New Roman" w:hAnsi="Times New Roman" w:eastAsia="宋体" w:cs="宋体"/>
                      <w:sz w:val="21"/>
                      <w:szCs w:val="21"/>
                      <w:lang w:val="en-US" w:eastAsia="en-US" w:bidi="ar-SA"/>
                    </w:rPr>
                  </w:pPr>
                  <w:r>
                    <w:rPr>
                      <w:rFonts w:hint="default" w:ascii="Times New Roman" w:hAnsi="Times New Roman" w:eastAsia="宋体" w:cs="Times New Roman"/>
                      <w:color w:val="000000"/>
                      <w:sz w:val="21"/>
                      <w:szCs w:val="21"/>
                      <w:lang w:val="en-US" w:eastAsia="zh-CN"/>
                    </w:rPr>
                    <w:t>《挥发性有机物排放标准</w:t>
                  </w:r>
                  <w:r>
                    <w:rPr>
                      <w:rFonts w:hint="eastAsia" w:cs="Times New Roman"/>
                      <w:color w:val="000000"/>
                      <w:sz w:val="21"/>
                      <w:szCs w:val="21"/>
                      <w:lang w:val="en-US" w:eastAsia="zh-CN"/>
                    </w:rPr>
                    <w:t xml:space="preserve"> </w:t>
                  </w:r>
                  <w:r>
                    <w:rPr>
                      <w:rFonts w:hint="default" w:ascii="Times New Roman" w:hAnsi="Times New Roman" w:eastAsia="宋体" w:cs="Times New Roman"/>
                      <w:color w:val="000000"/>
                      <w:sz w:val="21"/>
                      <w:szCs w:val="21"/>
                      <w:lang w:val="en-US" w:eastAsia="zh-CN"/>
                    </w:rPr>
                    <w:t>第6部分：有机化工行业》（DB 37/ 2801.6-2018）表1中Ⅱ时段排放限值要求VOCs：60mg/cm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，3.0kg/h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489" w:type="dxa"/>
                  <w:vMerge w:val="continue"/>
                  <w:tcBorders>
                    <w:tl2br w:val="nil"/>
                    <w:tr2bl w:val="nil"/>
                  </w:tcBorders>
                  <w:vAlign w:val="center"/>
                </w:tcPr>
                <w:p>
                  <w:pPr>
                    <w:adjustRightInd w:val="0"/>
                    <w:snapToGrid w:val="0"/>
                    <w:jc w:val="center"/>
                    <w:rPr>
                      <w:rFonts w:ascii="Times New Roman" w:hAnsi="Times New Roman"/>
                      <w:sz w:val="21"/>
                      <w:szCs w:val="21"/>
                    </w:rPr>
                  </w:pPr>
                </w:p>
              </w:tc>
              <w:tc>
                <w:tcPr>
                  <w:tcW w:w="1414" w:type="dxa"/>
                  <w:tcBorders>
                    <w:tl2br w:val="nil"/>
                    <w:tr2bl w:val="nil"/>
                  </w:tcBorders>
                  <w:tcMar>
                    <w:top w:w="0" w:type="dxa"/>
                    <w:left w:w="0" w:type="dxa"/>
                    <w:bottom w:w="0" w:type="dxa"/>
                    <w:right w:w="0" w:type="dxa"/>
                  </w:tcMar>
                  <w:vAlign w:val="center"/>
                </w:tcPr>
                <w:p>
                  <w:pPr>
                    <w:contextualSpacing/>
                    <w:jc w:val="center"/>
                    <w:rPr>
                      <w:rFonts w:hint="eastAsia" w:ascii="Times New Roman" w:hAnsi="Times New Roman"/>
                      <w:sz w:val="21"/>
                      <w:szCs w:val="21"/>
                      <w:lang w:eastAsia="zh-CN"/>
                    </w:rPr>
                  </w:pPr>
                  <w:r>
                    <w:rPr>
                      <w:rFonts w:ascii="Times New Roman" w:hAnsi="Times New Roman"/>
                      <w:spacing w:val="-2"/>
                      <w:kern w:val="0"/>
                      <w:sz w:val="21"/>
                      <w:szCs w:val="21"/>
                    </w:rPr>
                    <w:t>未收集</w:t>
                  </w:r>
                </w:p>
              </w:tc>
              <w:tc>
                <w:tcPr>
                  <w:tcW w:w="2141" w:type="dxa"/>
                  <w:tcBorders>
                    <w:tl2br w:val="nil"/>
                    <w:tr2bl w:val="nil"/>
                  </w:tcBorders>
                  <w:tcMar>
                    <w:top w:w="0" w:type="dxa"/>
                    <w:left w:w="0" w:type="dxa"/>
                    <w:bottom w:w="0" w:type="dxa"/>
                    <w:right w:w="0" w:type="dxa"/>
                  </w:tcMar>
                  <w:vAlign w:val="center"/>
                </w:tcPr>
                <w:p>
                  <w:pPr>
                    <w:jc w:val="both"/>
                    <w:rPr>
                      <w:rFonts w:hint="default" w:ascii="Times New Roman" w:hAnsi="Times New Roman" w:eastAsia="宋体" w:cs="Times New Roman"/>
                      <w:sz w:val="21"/>
                      <w:szCs w:val="21"/>
                      <w:lang w:val="en-US" w:eastAsia="zh-CN"/>
                    </w:rPr>
                  </w:pPr>
                  <w:r>
                    <w:rPr>
                      <w:rFonts w:hint="eastAsia" w:ascii="Times New Roman" w:hAnsi="Times New Roman"/>
                      <w:sz w:val="21"/>
                      <w:szCs w:val="21"/>
                    </w:rPr>
                    <w:t>加强车间内操作管理；车间密闭，车间墙体遮挡</w:t>
                  </w:r>
                </w:p>
              </w:tc>
              <w:tc>
                <w:tcPr>
                  <w:tcW w:w="785"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ascii="Times New Roman" w:hAnsi="Times New Roman"/>
                      <w:sz w:val="21"/>
                      <w:szCs w:val="21"/>
                    </w:rPr>
                    <w:t>厂界</w:t>
                  </w:r>
                </w:p>
              </w:tc>
              <w:tc>
                <w:tcPr>
                  <w:tcW w:w="1060" w:type="dxa"/>
                  <w:tcBorders>
                    <w:tl2br w:val="nil"/>
                    <w:tr2bl w:val="nil"/>
                  </w:tcBorders>
                  <w:tcMar>
                    <w:top w:w="0" w:type="dxa"/>
                    <w:left w:w="0" w:type="dxa"/>
                    <w:bottom w:w="0" w:type="dxa"/>
                    <w:right w:w="0" w:type="dxa"/>
                  </w:tcMar>
                  <w:vAlign w:val="center"/>
                </w:tcPr>
                <w:p>
                  <w:pPr>
                    <w:jc w:val="center"/>
                    <w:rPr>
                      <w:rFonts w:hint="eastAsia" w:ascii="Times New Roman" w:hAnsi="Times New Roman"/>
                      <w:sz w:val="21"/>
                      <w:szCs w:val="21"/>
                      <w:lang w:val="en-US" w:eastAsia="zh-CN"/>
                    </w:rPr>
                  </w:pPr>
                  <w:r>
                    <w:rPr>
                      <w:rFonts w:ascii="Times New Roman" w:hAnsi="Times New Roman"/>
                      <w:sz w:val="21"/>
                      <w:szCs w:val="21"/>
                    </w:rPr>
                    <w:t>VOCs</w:t>
                  </w:r>
                </w:p>
              </w:tc>
              <w:tc>
                <w:tcPr>
                  <w:tcW w:w="2891" w:type="dxa"/>
                  <w:tcBorders>
                    <w:tl2br w:val="nil"/>
                    <w:tr2bl w:val="nil"/>
                  </w:tcBorders>
                  <w:tcMar>
                    <w:top w:w="0" w:type="dxa"/>
                    <w:left w:w="0" w:type="dxa"/>
                    <w:bottom w:w="0" w:type="dxa"/>
                    <w:right w:w="0" w:type="dxa"/>
                  </w:tcMar>
                  <w:vAlign w:val="center"/>
                </w:tcPr>
                <w:p>
                  <w:pPr>
                    <w:widowControl/>
                    <w:jc w:val="both"/>
                    <w:rPr>
                      <w:rFonts w:hint="default" w:ascii="Times New Roman" w:hAnsi="Times New Roman" w:eastAsia="宋体" w:cs="Times New Roman"/>
                      <w:color w:val="000000"/>
                      <w:sz w:val="21"/>
                      <w:szCs w:val="21"/>
                      <w:lang w:val="en-US" w:eastAsia="zh-CN"/>
                    </w:rPr>
                  </w:pPr>
                  <w:r>
                    <w:rPr>
                      <w:rFonts w:ascii="Times New Roman" w:hAnsi="Times New Roman"/>
                      <w:sz w:val="21"/>
                      <w:szCs w:val="21"/>
                    </w:rPr>
                    <w:t>《挥发性有机物排放标准 第6部分：有机化工行业》（DB37/2801.6-2018）表3厂界监控点浓度限值：VOCs</w:t>
                  </w:r>
                  <w:r>
                    <w:rPr>
                      <w:rFonts w:hint="eastAsia" w:ascii="Times New Roman" w:hAnsi="Times New Roman"/>
                      <w:sz w:val="21"/>
                      <w:szCs w:val="21"/>
                      <w:lang w:val="en-US" w:eastAsia="zh-CN"/>
                    </w:rPr>
                    <w:t xml:space="preserve"> </w:t>
                  </w:r>
                  <w:r>
                    <w:rPr>
                      <w:rFonts w:ascii="Times New Roman" w:hAnsi="Times New Roman"/>
                      <w:sz w:val="21"/>
                      <w:szCs w:val="21"/>
                    </w:rPr>
                    <w:t>2.0mg/m</w:t>
                  </w:r>
                  <w:r>
                    <w:rPr>
                      <w:rFonts w:ascii="Times New Roman" w:hAnsi="Times New Roman"/>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噪声</w:t>
                  </w:r>
                </w:p>
              </w:tc>
              <w:tc>
                <w:tcPr>
                  <w:tcW w:w="1414"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ascii="Times New Roman" w:hAnsi="Times New Roman"/>
                      <w:sz w:val="21"/>
                      <w:szCs w:val="21"/>
                    </w:rPr>
                    <w:t>设备噪声</w:t>
                  </w:r>
                </w:p>
              </w:tc>
              <w:tc>
                <w:tcPr>
                  <w:tcW w:w="2141" w:type="dxa"/>
                  <w:tcBorders>
                    <w:tl2br w:val="nil"/>
                    <w:tr2bl w:val="nil"/>
                  </w:tcBorders>
                  <w:tcMar>
                    <w:top w:w="0" w:type="dxa"/>
                    <w:left w:w="0" w:type="dxa"/>
                    <w:bottom w:w="0" w:type="dxa"/>
                    <w:right w:w="0" w:type="dxa"/>
                  </w:tcMar>
                  <w:vAlign w:val="center"/>
                </w:tcPr>
                <w:p>
                  <w:pPr>
                    <w:adjustRightInd w:val="0"/>
                    <w:snapToGrid w:val="0"/>
                    <w:jc w:val="both"/>
                    <w:rPr>
                      <w:rFonts w:ascii="Times New Roman" w:hAnsi="Times New Roman"/>
                      <w:sz w:val="21"/>
                      <w:szCs w:val="21"/>
                    </w:rPr>
                  </w:pPr>
                  <w:r>
                    <w:rPr>
                      <w:rFonts w:hint="eastAsia" w:ascii="Times New Roman" w:hAnsi="Times New Roman"/>
                      <w:sz w:val="21"/>
                      <w:szCs w:val="21"/>
                    </w:rPr>
                    <w:t>选用低噪声设备，采取隔声降噪措施，合理布局</w:t>
                  </w:r>
                </w:p>
              </w:tc>
              <w:tc>
                <w:tcPr>
                  <w:tcW w:w="785"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ascii="Times New Roman" w:hAnsi="Times New Roman"/>
                      <w:sz w:val="21"/>
                      <w:szCs w:val="21"/>
                    </w:rPr>
                    <w:t>厂界</w:t>
                  </w:r>
                </w:p>
              </w:tc>
              <w:tc>
                <w:tcPr>
                  <w:tcW w:w="1060"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ascii="Times New Roman" w:hAnsi="Times New Roman"/>
                      <w:sz w:val="21"/>
                      <w:szCs w:val="21"/>
                    </w:rPr>
                    <w:t>噪声</w:t>
                  </w:r>
                </w:p>
              </w:tc>
              <w:tc>
                <w:tcPr>
                  <w:tcW w:w="2891" w:type="dxa"/>
                  <w:tcBorders>
                    <w:tl2br w:val="nil"/>
                    <w:tr2bl w:val="nil"/>
                  </w:tcBorders>
                  <w:tcMar>
                    <w:top w:w="0" w:type="dxa"/>
                    <w:left w:w="0" w:type="dxa"/>
                    <w:bottom w:w="0" w:type="dxa"/>
                    <w:right w:w="0" w:type="dxa"/>
                  </w:tcMar>
                  <w:vAlign w:val="center"/>
                </w:tcPr>
                <w:p>
                  <w:pPr>
                    <w:adjustRightInd w:val="0"/>
                    <w:snapToGrid w:val="0"/>
                    <w:jc w:val="both"/>
                    <w:rPr>
                      <w:rFonts w:ascii="Times New Roman" w:hAnsi="Times New Roman"/>
                      <w:sz w:val="21"/>
                      <w:szCs w:val="21"/>
                    </w:rPr>
                  </w:pPr>
                  <w:r>
                    <w:rPr>
                      <w:rFonts w:ascii="Times New Roman" w:hAnsi="Times New Roman"/>
                      <w:sz w:val="21"/>
                      <w:szCs w:val="21"/>
                    </w:rPr>
                    <w:t>《工业企业厂界环境噪声排放标准》（GB12348-2008）2类标准限值要求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89" w:type="dxa"/>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废水</w:t>
                  </w:r>
                </w:p>
              </w:tc>
              <w:tc>
                <w:tcPr>
                  <w:tcW w:w="1414"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hint="eastAsia" w:ascii="宋体" w:hAnsi="宋体" w:eastAsia="宋体" w:cs="宋体"/>
                      <w:sz w:val="21"/>
                      <w:szCs w:val="21"/>
                      <w:lang w:val="en-US" w:eastAsia="zh-CN"/>
                    </w:rPr>
                    <w:t>生活污水</w:t>
                  </w:r>
                </w:p>
              </w:tc>
              <w:tc>
                <w:tcPr>
                  <w:tcW w:w="2141" w:type="dxa"/>
                  <w:tcBorders>
                    <w:tl2br w:val="nil"/>
                    <w:tr2bl w:val="nil"/>
                  </w:tcBorders>
                  <w:tcMar>
                    <w:top w:w="0" w:type="dxa"/>
                    <w:left w:w="0" w:type="dxa"/>
                    <w:bottom w:w="0" w:type="dxa"/>
                    <w:right w:w="0" w:type="dxa"/>
                  </w:tcMar>
                  <w:vAlign w:val="center"/>
                </w:tcPr>
                <w:p>
                  <w:pPr>
                    <w:adjustRightInd w:val="0"/>
                    <w:snapToGrid w:val="0"/>
                    <w:jc w:val="both"/>
                    <w:rPr>
                      <w:rFonts w:ascii="Times New Roman" w:hAnsi="Times New Roman"/>
                      <w:sz w:val="21"/>
                      <w:szCs w:val="21"/>
                    </w:rPr>
                  </w:pPr>
                  <w:r>
                    <w:rPr>
                      <w:rFonts w:hint="eastAsia" w:cs="宋体"/>
                      <w:sz w:val="21"/>
                      <w:szCs w:val="21"/>
                      <w:lang w:val="en-US" w:eastAsia="zh-CN"/>
                    </w:rPr>
                    <w:t>生活污水经厂区内化粪池预处理后通过污水管网最终进入齐城污水处理厂处理</w:t>
                  </w:r>
                </w:p>
              </w:tc>
              <w:tc>
                <w:tcPr>
                  <w:tcW w:w="785" w:type="dxa"/>
                  <w:tcBorders>
                    <w:tl2br w:val="nil"/>
                    <w:tr2bl w:val="nil"/>
                  </w:tcBorders>
                  <w:tcMar>
                    <w:top w:w="0" w:type="dxa"/>
                    <w:left w:w="0" w:type="dxa"/>
                    <w:bottom w:w="0" w:type="dxa"/>
                    <w:right w:w="0" w:type="dxa"/>
                  </w:tcMar>
                  <w:vAlign w:val="center"/>
                </w:tcPr>
                <w:p>
                  <w:pPr>
                    <w:adjustRightInd w:val="0"/>
                    <w:snapToGrid w:val="0"/>
                    <w:jc w:val="center"/>
                    <w:rPr>
                      <w:rFonts w:hint="default" w:ascii="Times New Roman" w:hAnsi="Times New Roman" w:eastAsia="宋体"/>
                      <w:sz w:val="21"/>
                      <w:szCs w:val="21"/>
                      <w:lang w:val="en-US" w:eastAsia="zh-CN"/>
                    </w:rPr>
                  </w:pPr>
                  <w:r>
                    <w:rPr>
                      <w:rFonts w:hint="eastAsia" w:ascii="Times New Roman" w:hAnsi="Times New Roman"/>
                      <w:sz w:val="21"/>
                      <w:szCs w:val="21"/>
                      <w:lang w:eastAsia="zh-CN"/>
                    </w:rPr>
                    <w:t>污水总排口</w:t>
                  </w:r>
                  <w:r>
                    <w:rPr>
                      <w:rFonts w:hint="eastAsia"/>
                      <w:sz w:val="21"/>
                      <w:szCs w:val="21"/>
                      <w:lang w:val="en-US" w:eastAsia="zh-CN"/>
                    </w:rPr>
                    <w:t>DW001</w:t>
                  </w:r>
                </w:p>
              </w:tc>
              <w:tc>
                <w:tcPr>
                  <w:tcW w:w="1060"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hint="eastAsia" w:ascii="宋体" w:hAnsi="宋体" w:eastAsia="宋体" w:cs="宋体"/>
                      <w:sz w:val="21"/>
                      <w:szCs w:val="21"/>
                      <w:lang w:val="en-US" w:eastAsia="zh-CN"/>
                    </w:rPr>
                    <w:t>生活污水</w:t>
                  </w:r>
                </w:p>
              </w:tc>
              <w:tc>
                <w:tcPr>
                  <w:tcW w:w="2891" w:type="dxa"/>
                  <w:tcBorders>
                    <w:tl2br w:val="nil"/>
                    <w:tr2bl w:val="nil"/>
                  </w:tcBorders>
                  <w:tcMar>
                    <w:top w:w="0" w:type="dxa"/>
                    <w:left w:w="0" w:type="dxa"/>
                    <w:bottom w:w="0" w:type="dxa"/>
                    <w:right w:w="0" w:type="dxa"/>
                  </w:tcMar>
                  <w:vAlign w:val="center"/>
                </w:tcPr>
                <w:p>
                  <w:pPr>
                    <w:adjustRightInd w:val="0"/>
                    <w:snapToGrid w:val="0"/>
                    <w:jc w:val="both"/>
                    <w:rPr>
                      <w:rFonts w:ascii="Times New Roman" w:hAnsi="Times New Roman"/>
                      <w:sz w:val="21"/>
                      <w:szCs w:val="21"/>
                    </w:rPr>
                  </w:pPr>
                  <w:r>
                    <w:rPr>
                      <w:rFonts w:hint="eastAsia" w:ascii="Times New Roman" w:hAnsi="Times New Roman" w:eastAsia="宋体" w:cs="Times New Roman"/>
                      <w:kern w:val="2"/>
                      <w:sz w:val="21"/>
                      <w:szCs w:val="21"/>
                      <w:lang w:val="en-US" w:eastAsia="zh-CN" w:bidi="ar-SA"/>
                    </w:rPr>
                    <w:t>《污水综合排放标准》（GB8978-1996）表4中三级标准以及齐城污水处理厂进水水质标准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vMerge w:val="restart"/>
                  <w:tcBorders>
                    <w:tl2br w:val="nil"/>
                    <w:tr2bl w:val="nil"/>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固废</w:t>
                  </w:r>
                </w:p>
              </w:tc>
              <w:tc>
                <w:tcPr>
                  <w:tcW w:w="1414" w:type="dxa"/>
                  <w:tcBorders>
                    <w:tl2br w:val="nil"/>
                    <w:tr2bl w:val="nil"/>
                  </w:tcBorders>
                  <w:tcMar>
                    <w:top w:w="0" w:type="dxa"/>
                    <w:left w:w="0" w:type="dxa"/>
                    <w:bottom w:w="0" w:type="dxa"/>
                    <w:right w:w="0" w:type="dxa"/>
                  </w:tcMar>
                  <w:vAlign w:val="center"/>
                </w:tcPr>
                <w:p>
                  <w:pPr>
                    <w:jc w:val="center"/>
                    <w:rPr>
                      <w:rFonts w:hint="default" w:ascii="Times New Roman" w:hAnsi="Times New Roman" w:eastAsia="宋体" w:cs="宋体"/>
                      <w:sz w:val="21"/>
                      <w:szCs w:val="21"/>
                      <w:lang w:val="en-US" w:eastAsia="zh-CN" w:bidi="ar-SA"/>
                    </w:rPr>
                  </w:pPr>
                  <w:r>
                    <w:rPr>
                      <w:rFonts w:hint="eastAsia" w:ascii="Times New Roman" w:hAnsi="Times New Roman" w:eastAsia="宋体" w:cs="Times New Roman"/>
                      <w:color w:val="000000"/>
                      <w:sz w:val="21"/>
                      <w:szCs w:val="21"/>
                      <w:highlight w:val="none"/>
                      <w:lang w:val="en-US" w:eastAsia="zh-CN"/>
                    </w:rPr>
                    <w:t>生活垃圾</w:t>
                  </w:r>
                </w:p>
              </w:tc>
              <w:tc>
                <w:tcPr>
                  <w:tcW w:w="2141" w:type="dxa"/>
                  <w:tcBorders>
                    <w:tl2br w:val="nil"/>
                    <w:tr2bl w:val="nil"/>
                  </w:tcBorders>
                  <w:tcMar>
                    <w:top w:w="0" w:type="dxa"/>
                    <w:left w:w="0" w:type="dxa"/>
                    <w:bottom w:w="0" w:type="dxa"/>
                    <w:right w:w="0" w:type="dxa"/>
                  </w:tcMar>
                  <w:vAlign w:val="center"/>
                </w:tcPr>
                <w:p>
                  <w:pPr>
                    <w:adjustRightInd w:val="0"/>
                    <w:snapToGrid w:val="0"/>
                    <w:ind w:left="0" w:leftChars="0" w:right="0" w:rightChars="0"/>
                    <w:jc w:val="center"/>
                    <w:rPr>
                      <w:rFonts w:hint="default" w:ascii="Times New Roman" w:hAnsi="Times New Roman" w:eastAsia="宋体" w:cs="宋体"/>
                      <w:bCs/>
                      <w:sz w:val="21"/>
                      <w:szCs w:val="21"/>
                      <w:lang w:val="en-US" w:eastAsia="zh-CN" w:bidi="ar-SA"/>
                    </w:rPr>
                  </w:pPr>
                  <w:r>
                    <w:rPr>
                      <w:rFonts w:hint="eastAsia" w:cs="宋体"/>
                      <w:bCs/>
                      <w:sz w:val="21"/>
                      <w:szCs w:val="21"/>
                      <w:lang w:val="en-US" w:eastAsia="zh-CN" w:bidi="ar-SA"/>
                    </w:rPr>
                    <w:t>环卫部门定期清运</w:t>
                  </w:r>
                </w:p>
              </w:tc>
              <w:tc>
                <w:tcPr>
                  <w:tcW w:w="785" w:type="dxa"/>
                  <w:tcBorders>
                    <w:tl2br w:val="nil"/>
                    <w:tr2bl w:val="nil"/>
                  </w:tcBorders>
                  <w:tcMar>
                    <w:top w:w="0" w:type="dxa"/>
                    <w:left w:w="0" w:type="dxa"/>
                    <w:bottom w:w="0" w:type="dxa"/>
                    <w:right w:w="0" w:type="dxa"/>
                  </w:tcMar>
                  <w:vAlign w:val="center"/>
                </w:tcPr>
                <w:p>
                  <w:pPr>
                    <w:adjustRightInd w:val="0"/>
                    <w:snapToGrid w:val="0"/>
                    <w:ind w:left="0" w:leftChars="0" w:right="0" w:rightChars="0"/>
                    <w:jc w:val="center"/>
                    <w:rPr>
                      <w:rFonts w:hint="eastAsia" w:ascii="Times New Roman" w:hAnsi="Times New Roman" w:eastAsia="宋体" w:cs="宋体"/>
                      <w:sz w:val="21"/>
                      <w:szCs w:val="21"/>
                      <w:lang w:val="en-US" w:eastAsia="zh-CN" w:bidi="ar-SA"/>
                    </w:rPr>
                  </w:pPr>
                  <w:r>
                    <w:rPr>
                      <w:rFonts w:hint="eastAsia" w:cs="宋体"/>
                      <w:sz w:val="21"/>
                      <w:szCs w:val="21"/>
                      <w:lang w:val="en-US" w:eastAsia="zh-CN" w:bidi="ar-SA"/>
                    </w:rPr>
                    <w:t>/</w:t>
                  </w:r>
                </w:p>
              </w:tc>
              <w:tc>
                <w:tcPr>
                  <w:tcW w:w="1060" w:type="dxa"/>
                  <w:tcBorders>
                    <w:tl2br w:val="nil"/>
                    <w:tr2bl w:val="nil"/>
                  </w:tcBorders>
                  <w:tcMar>
                    <w:top w:w="0" w:type="dxa"/>
                    <w:left w:w="0" w:type="dxa"/>
                    <w:bottom w:w="0" w:type="dxa"/>
                    <w:right w:w="0" w:type="dxa"/>
                  </w:tcMar>
                  <w:vAlign w:val="center"/>
                </w:tcPr>
                <w:p>
                  <w:pPr>
                    <w:adjustRightInd w:val="0"/>
                    <w:snapToGrid w:val="0"/>
                    <w:ind w:left="0" w:leftChars="0" w:right="0" w:rightChars="0"/>
                    <w:jc w:val="center"/>
                    <w:rPr>
                      <w:rFonts w:ascii="Times New Roman" w:hAnsi="Times New Roman" w:eastAsia="宋体" w:cs="宋体"/>
                      <w:sz w:val="21"/>
                      <w:szCs w:val="21"/>
                      <w:lang w:val="en-US" w:eastAsia="en-US" w:bidi="ar-SA"/>
                    </w:rPr>
                  </w:pPr>
                  <w:r>
                    <w:rPr>
                      <w:rFonts w:hint="eastAsia" w:cs="宋体"/>
                      <w:sz w:val="21"/>
                      <w:szCs w:val="21"/>
                      <w:lang w:val="en-US" w:eastAsia="zh-CN" w:bidi="ar-SA"/>
                    </w:rPr>
                    <w:t>/</w:t>
                  </w:r>
                </w:p>
              </w:tc>
              <w:tc>
                <w:tcPr>
                  <w:tcW w:w="2891" w:type="dxa"/>
                  <w:tcBorders>
                    <w:tl2br w:val="nil"/>
                    <w:tr2bl w:val="nil"/>
                  </w:tcBorders>
                  <w:tcMar>
                    <w:top w:w="0" w:type="dxa"/>
                    <w:left w:w="0" w:type="dxa"/>
                    <w:bottom w:w="0" w:type="dxa"/>
                    <w:right w:w="0" w:type="dxa"/>
                  </w:tcMar>
                  <w:vAlign w:val="center"/>
                </w:tcPr>
                <w:p>
                  <w:pPr>
                    <w:adjustRightInd w:val="0"/>
                    <w:snapToGrid w:val="0"/>
                    <w:ind w:left="0" w:leftChars="0" w:right="0" w:rightChars="0"/>
                    <w:jc w:val="center"/>
                    <w:rPr>
                      <w:rFonts w:ascii="Times New Roman" w:hAnsi="Times New Roman" w:eastAsia="宋体" w:cs="宋体"/>
                      <w:sz w:val="21"/>
                      <w:szCs w:val="21"/>
                      <w:lang w:val="en-US" w:eastAsia="en-US" w:bidi="ar-SA"/>
                    </w:rPr>
                  </w:pPr>
                  <w:r>
                    <w:rPr>
                      <w:rFonts w:hint="eastAsia" w:cs="宋体"/>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vMerge w:val="continue"/>
                  <w:tcBorders>
                    <w:tl2br w:val="nil"/>
                    <w:tr2bl w:val="nil"/>
                  </w:tcBorders>
                  <w:vAlign w:val="center"/>
                </w:tcPr>
                <w:p>
                  <w:pPr>
                    <w:adjustRightInd w:val="0"/>
                    <w:snapToGrid w:val="0"/>
                    <w:jc w:val="center"/>
                    <w:rPr>
                      <w:rFonts w:ascii="Times New Roman" w:hAnsi="Times New Roman"/>
                      <w:sz w:val="21"/>
                      <w:szCs w:val="21"/>
                    </w:rPr>
                  </w:pPr>
                </w:p>
              </w:tc>
              <w:tc>
                <w:tcPr>
                  <w:tcW w:w="1414" w:type="dxa"/>
                  <w:tcBorders>
                    <w:tl2br w:val="nil"/>
                    <w:tr2bl w:val="nil"/>
                  </w:tcBorders>
                  <w:tcMar>
                    <w:top w:w="0" w:type="dxa"/>
                    <w:left w:w="0" w:type="dxa"/>
                    <w:bottom w:w="0" w:type="dxa"/>
                    <w:right w:w="0" w:type="dxa"/>
                  </w:tcMar>
                  <w:vAlign w:val="center"/>
                </w:tcPr>
                <w:p>
                  <w:pPr>
                    <w:jc w:val="center"/>
                    <w:rPr>
                      <w:rFonts w:hint="eastAsia" w:ascii="Times New Roman" w:hAnsi="Times New Roman" w:eastAsia="宋体"/>
                      <w:bCs/>
                      <w:sz w:val="21"/>
                      <w:szCs w:val="21"/>
                      <w:lang w:eastAsia="zh-CN"/>
                    </w:rPr>
                  </w:pPr>
                  <w:r>
                    <w:rPr>
                      <w:rFonts w:hint="eastAsia" w:ascii="Times New Roman" w:hAnsi="Times New Roman" w:eastAsia="宋体" w:cs="Times New Roman"/>
                      <w:color w:val="000000"/>
                      <w:sz w:val="21"/>
                      <w:szCs w:val="21"/>
                      <w:highlight w:val="none"/>
                      <w:lang w:val="en-US" w:eastAsia="zh-CN"/>
                    </w:rPr>
                    <w:t>废塑料</w:t>
                  </w:r>
                </w:p>
              </w:tc>
              <w:tc>
                <w:tcPr>
                  <w:tcW w:w="2141" w:type="dxa"/>
                  <w:vMerge w:val="restart"/>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bCs/>
                      <w:sz w:val="21"/>
                      <w:szCs w:val="21"/>
                    </w:rPr>
                  </w:pPr>
                  <w:r>
                    <w:rPr>
                      <w:rFonts w:ascii="Times New Roman" w:hAnsi="Times New Roman"/>
                      <w:sz w:val="21"/>
                      <w:szCs w:val="21"/>
                    </w:rPr>
                    <w:t>收集后外卖</w:t>
                  </w:r>
                </w:p>
              </w:tc>
              <w:tc>
                <w:tcPr>
                  <w:tcW w:w="785"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hint="eastAsia" w:cs="宋体"/>
                      <w:sz w:val="21"/>
                      <w:szCs w:val="21"/>
                      <w:lang w:val="en-US" w:eastAsia="zh-CN" w:bidi="ar-SA"/>
                    </w:rPr>
                    <w:t>/</w:t>
                  </w:r>
                </w:p>
              </w:tc>
              <w:tc>
                <w:tcPr>
                  <w:tcW w:w="1060"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hint="eastAsia" w:cs="宋体"/>
                      <w:sz w:val="21"/>
                      <w:szCs w:val="21"/>
                      <w:lang w:val="en-US" w:eastAsia="zh-CN" w:bidi="ar-SA"/>
                    </w:rPr>
                    <w:t>/</w:t>
                  </w:r>
                </w:p>
              </w:tc>
              <w:tc>
                <w:tcPr>
                  <w:tcW w:w="2891"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hint="eastAsia" w:cs="宋体"/>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vMerge w:val="continue"/>
                  <w:tcBorders>
                    <w:tl2br w:val="nil"/>
                    <w:tr2bl w:val="nil"/>
                  </w:tcBorders>
                  <w:vAlign w:val="center"/>
                </w:tcPr>
                <w:p>
                  <w:pPr>
                    <w:adjustRightInd w:val="0"/>
                    <w:snapToGrid w:val="0"/>
                    <w:jc w:val="center"/>
                    <w:rPr>
                      <w:rFonts w:ascii="Times New Roman" w:hAnsi="Times New Roman"/>
                      <w:sz w:val="21"/>
                      <w:szCs w:val="21"/>
                    </w:rPr>
                  </w:pPr>
                </w:p>
              </w:tc>
              <w:tc>
                <w:tcPr>
                  <w:tcW w:w="1414" w:type="dxa"/>
                  <w:tcBorders>
                    <w:tl2br w:val="nil"/>
                    <w:tr2bl w:val="nil"/>
                  </w:tcBorders>
                  <w:tcMar>
                    <w:top w:w="0" w:type="dxa"/>
                    <w:left w:w="0" w:type="dxa"/>
                    <w:bottom w:w="0" w:type="dxa"/>
                    <w:right w:w="0" w:type="dxa"/>
                  </w:tcMar>
                  <w:vAlign w:val="center"/>
                </w:tcPr>
                <w:p>
                  <w:pPr>
                    <w:jc w:val="center"/>
                    <w:rPr>
                      <w:rFonts w:hint="eastAsia" w:ascii="宋体" w:hAnsi="宋体" w:eastAsia="宋体" w:cs="宋体"/>
                      <w:b w:val="0"/>
                      <w:bCs w:val="0"/>
                      <w:kern w:val="2"/>
                      <w:sz w:val="21"/>
                      <w:szCs w:val="21"/>
                      <w:lang w:val="en-US" w:eastAsia="zh-CN" w:bidi="ar-SA"/>
                    </w:rPr>
                  </w:pPr>
                  <w:r>
                    <w:rPr>
                      <w:rFonts w:ascii="Times New Roman" w:hAnsi="Times New Roman" w:eastAsia="宋体" w:cs="Times New Roman"/>
                      <w:color w:val="000000"/>
                      <w:sz w:val="21"/>
                      <w:szCs w:val="21"/>
                      <w:highlight w:val="none"/>
                    </w:rPr>
                    <w:t>废包装</w:t>
                  </w:r>
                </w:p>
              </w:tc>
              <w:tc>
                <w:tcPr>
                  <w:tcW w:w="2141" w:type="dxa"/>
                  <w:vMerge w:val="continue"/>
                  <w:tcBorders>
                    <w:tl2br w:val="nil"/>
                    <w:tr2bl w:val="nil"/>
                  </w:tcBorders>
                  <w:tcMar>
                    <w:top w:w="0" w:type="dxa"/>
                    <w:left w:w="0" w:type="dxa"/>
                    <w:bottom w:w="0" w:type="dxa"/>
                    <w:right w:w="0" w:type="dxa"/>
                  </w:tcMar>
                  <w:vAlign w:val="center"/>
                </w:tcPr>
                <w:p>
                  <w:pPr>
                    <w:jc w:val="center"/>
                    <w:rPr>
                      <w:rFonts w:ascii="Times New Roman" w:hAnsi="Times New Roman"/>
                      <w:bCs/>
                      <w:sz w:val="21"/>
                      <w:szCs w:val="21"/>
                    </w:rPr>
                  </w:pPr>
                </w:p>
              </w:tc>
              <w:tc>
                <w:tcPr>
                  <w:tcW w:w="785"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hint="eastAsia" w:cs="宋体"/>
                      <w:sz w:val="21"/>
                      <w:szCs w:val="21"/>
                      <w:lang w:val="en-US" w:eastAsia="zh-CN" w:bidi="ar-SA"/>
                    </w:rPr>
                    <w:t>/</w:t>
                  </w:r>
                </w:p>
              </w:tc>
              <w:tc>
                <w:tcPr>
                  <w:tcW w:w="1060"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hint="eastAsia" w:cs="宋体"/>
                      <w:sz w:val="21"/>
                      <w:szCs w:val="21"/>
                      <w:lang w:val="en-US" w:eastAsia="zh-CN" w:bidi="ar-SA"/>
                    </w:rPr>
                    <w:t>/</w:t>
                  </w:r>
                </w:p>
              </w:tc>
              <w:tc>
                <w:tcPr>
                  <w:tcW w:w="2891"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hint="eastAsia" w:cs="宋体"/>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vMerge w:val="continue"/>
                  <w:tcBorders>
                    <w:tl2br w:val="nil"/>
                    <w:tr2bl w:val="nil"/>
                  </w:tcBorders>
                  <w:vAlign w:val="center"/>
                </w:tcPr>
                <w:p>
                  <w:pPr>
                    <w:adjustRightInd w:val="0"/>
                    <w:snapToGrid w:val="0"/>
                    <w:jc w:val="center"/>
                    <w:rPr>
                      <w:rFonts w:ascii="Times New Roman" w:hAnsi="Times New Roman"/>
                      <w:sz w:val="21"/>
                      <w:szCs w:val="21"/>
                    </w:rPr>
                  </w:pPr>
                </w:p>
              </w:tc>
              <w:tc>
                <w:tcPr>
                  <w:tcW w:w="1414" w:type="dxa"/>
                  <w:tcBorders>
                    <w:tl2br w:val="nil"/>
                    <w:tr2bl w:val="nil"/>
                  </w:tcBorders>
                  <w:tcMar>
                    <w:top w:w="0" w:type="dxa"/>
                    <w:left w:w="0" w:type="dxa"/>
                    <w:bottom w:w="0" w:type="dxa"/>
                    <w:right w:w="0" w:type="dxa"/>
                  </w:tcMar>
                  <w:vAlign w:val="center"/>
                </w:tcPr>
                <w:p>
                  <w:pPr>
                    <w:jc w:val="center"/>
                    <w:rPr>
                      <w:rFonts w:hint="eastAsia" w:ascii="宋体" w:hAnsi="宋体" w:eastAsia="宋体" w:cs="宋体"/>
                      <w:b w:val="0"/>
                      <w:bCs w:val="0"/>
                      <w:kern w:val="2"/>
                      <w:sz w:val="21"/>
                      <w:szCs w:val="21"/>
                      <w:lang w:val="en-US" w:eastAsia="zh-CN" w:bidi="ar-SA"/>
                    </w:rPr>
                  </w:pPr>
                  <w:r>
                    <w:rPr>
                      <w:rFonts w:hint="eastAsia" w:ascii="Times New Roman" w:hAnsi="Times New Roman" w:eastAsia="宋体" w:cs="Times New Roman"/>
                      <w:sz w:val="21"/>
                      <w:szCs w:val="21"/>
                      <w:highlight w:val="none"/>
                      <w:lang w:val="en-US" w:eastAsia="zh-CN"/>
                    </w:rPr>
                    <w:t>废活性炭</w:t>
                  </w:r>
                </w:p>
              </w:tc>
              <w:tc>
                <w:tcPr>
                  <w:tcW w:w="2141" w:type="dxa"/>
                  <w:vMerge w:val="restart"/>
                  <w:tcBorders>
                    <w:tl2br w:val="nil"/>
                    <w:tr2bl w:val="nil"/>
                  </w:tcBorders>
                  <w:tcMar>
                    <w:top w:w="0" w:type="dxa"/>
                    <w:left w:w="0" w:type="dxa"/>
                    <w:bottom w:w="0" w:type="dxa"/>
                    <w:right w:w="0" w:type="dxa"/>
                  </w:tcMar>
                  <w:vAlign w:val="center"/>
                </w:tcPr>
                <w:p>
                  <w:pPr>
                    <w:jc w:val="center"/>
                    <w:rPr>
                      <w:rFonts w:ascii="Times New Roman" w:hAnsi="Times New Roman"/>
                      <w:sz w:val="21"/>
                      <w:szCs w:val="21"/>
                    </w:rPr>
                  </w:pPr>
                  <w:r>
                    <w:rPr>
                      <w:rFonts w:ascii="Times New Roman" w:hAnsi="Times New Roman"/>
                      <w:sz w:val="21"/>
                      <w:szCs w:val="21"/>
                    </w:rPr>
                    <w:t>委托</w:t>
                  </w:r>
                  <w:r>
                    <w:rPr>
                      <w:rFonts w:hint="eastAsia"/>
                      <w:sz w:val="21"/>
                      <w:szCs w:val="21"/>
                      <w:lang w:val="en-US" w:eastAsia="zh-CN"/>
                    </w:rPr>
                    <w:t>有</w:t>
                  </w:r>
                  <w:r>
                    <w:rPr>
                      <w:rFonts w:ascii="Times New Roman" w:hAnsi="Times New Roman"/>
                      <w:sz w:val="21"/>
                      <w:szCs w:val="21"/>
                    </w:rPr>
                    <w:t>资质单位处理</w:t>
                  </w:r>
                </w:p>
              </w:tc>
              <w:tc>
                <w:tcPr>
                  <w:tcW w:w="785"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hint="eastAsia" w:cs="宋体"/>
                      <w:sz w:val="21"/>
                      <w:szCs w:val="21"/>
                      <w:lang w:val="en-US" w:eastAsia="zh-CN" w:bidi="ar-SA"/>
                    </w:rPr>
                    <w:t>/</w:t>
                  </w:r>
                </w:p>
              </w:tc>
              <w:tc>
                <w:tcPr>
                  <w:tcW w:w="1060"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hint="eastAsia" w:cs="宋体"/>
                      <w:sz w:val="21"/>
                      <w:szCs w:val="21"/>
                      <w:lang w:val="en-US" w:eastAsia="zh-CN" w:bidi="ar-SA"/>
                    </w:rPr>
                    <w:t>/</w:t>
                  </w:r>
                </w:p>
              </w:tc>
              <w:tc>
                <w:tcPr>
                  <w:tcW w:w="2891"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hint="eastAsia" w:cs="宋体"/>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vMerge w:val="continue"/>
                  <w:tcBorders>
                    <w:tl2br w:val="nil"/>
                    <w:tr2bl w:val="nil"/>
                  </w:tcBorders>
                  <w:vAlign w:val="center"/>
                </w:tcPr>
                <w:p>
                  <w:pPr>
                    <w:adjustRightInd w:val="0"/>
                    <w:snapToGrid w:val="0"/>
                    <w:jc w:val="center"/>
                    <w:rPr>
                      <w:rFonts w:ascii="Times New Roman" w:hAnsi="Times New Roman"/>
                      <w:sz w:val="21"/>
                      <w:szCs w:val="21"/>
                    </w:rPr>
                  </w:pPr>
                </w:p>
              </w:tc>
              <w:tc>
                <w:tcPr>
                  <w:tcW w:w="1414" w:type="dxa"/>
                  <w:tcBorders>
                    <w:tl2br w:val="nil"/>
                    <w:tr2bl w:val="nil"/>
                  </w:tcBorders>
                  <w:tcMar>
                    <w:top w:w="0" w:type="dxa"/>
                    <w:left w:w="0" w:type="dxa"/>
                    <w:bottom w:w="0" w:type="dxa"/>
                    <w:right w:w="0" w:type="dxa"/>
                  </w:tcMar>
                  <w:vAlign w:val="center"/>
                </w:tcPr>
                <w:p>
                  <w:pPr>
                    <w:jc w:val="center"/>
                    <w:rPr>
                      <w:rFonts w:hint="default" w:ascii="宋体" w:hAnsi="宋体" w:eastAsia="宋体" w:cs="宋体"/>
                      <w:b w:val="0"/>
                      <w:bCs w:val="0"/>
                      <w:sz w:val="21"/>
                      <w:szCs w:val="21"/>
                      <w:lang w:val="en-US" w:eastAsia="zh-CN" w:bidi="ar-SA"/>
                    </w:rPr>
                  </w:pPr>
                  <w:r>
                    <w:rPr>
                      <w:rFonts w:hint="eastAsia" w:ascii="Times New Roman" w:hAnsi="Times New Roman" w:eastAsia="宋体" w:cs="Times New Roman"/>
                      <w:sz w:val="21"/>
                      <w:szCs w:val="21"/>
                      <w:highlight w:val="none"/>
                      <w:lang w:val="en-US" w:eastAsia="zh-CN"/>
                    </w:rPr>
                    <w:t>废机油</w:t>
                  </w:r>
                </w:p>
              </w:tc>
              <w:tc>
                <w:tcPr>
                  <w:tcW w:w="2141" w:type="dxa"/>
                  <w:vMerge w:val="continue"/>
                  <w:tcBorders>
                    <w:tl2br w:val="nil"/>
                    <w:tr2bl w:val="nil"/>
                  </w:tcBorders>
                  <w:tcMar>
                    <w:top w:w="0" w:type="dxa"/>
                    <w:left w:w="0" w:type="dxa"/>
                    <w:bottom w:w="0" w:type="dxa"/>
                    <w:right w:w="0" w:type="dxa"/>
                  </w:tcMar>
                  <w:vAlign w:val="center"/>
                </w:tcPr>
                <w:p>
                  <w:pPr>
                    <w:jc w:val="center"/>
                    <w:rPr>
                      <w:rFonts w:ascii="Times New Roman" w:hAnsi="Times New Roman"/>
                      <w:sz w:val="21"/>
                      <w:szCs w:val="21"/>
                    </w:rPr>
                  </w:pPr>
                </w:p>
              </w:tc>
              <w:tc>
                <w:tcPr>
                  <w:tcW w:w="785"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hint="eastAsia" w:cs="宋体"/>
                      <w:sz w:val="21"/>
                      <w:szCs w:val="21"/>
                      <w:lang w:val="en-US" w:eastAsia="zh-CN" w:bidi="ar-SA"/>
                    </w:rPr>
                    <w:t>/</w:t>
                  </w:r>
                </w:p>
              </w:tc>
              <w:tc>
                <w:tcPr>
                  <w:tcW w:w="1060"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hint="eastAsia" w:cs="宋体"/>
                      <w:sz w:val="21"/>
                      <w:szCs w:val="21"/>
                      <w:lang w:val="en-US" w:eastAsia="zh-CN" w:bidi="ar-SA"/>
                    </w:rPr>
                    <w:t>/</w:t>
                  </w:r>
                </w:p>
              </w:tc>
              <w:tc>
                <w:tcPr>
                  <w:tcW w:w="2891"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hint="eastAsia" w:cs="宋体"/>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dxa"/>
                  <w:vMerge w:val="continue"/>
                  <w:tcBorders>
                    <w:tl2br w:val="nil"/>
                    <w:tr2bl w:val="nil"/>
                  </w:tcBorders>
                  <w:vAlign w:val="center"/>
                </w:tcPr>
                <w:p>
                  <w:pPr>
                    <w:adjustRightInd w:val="0"/>
                    <w:snapToGrid w:val="0"/>
                    <w:jc w:val="center"/>
                    <w:rPr>
                      <w:rFonts w:ascii="Times New Roman" w:hAnsi="Times New Roman"/>
                      <w:sz w:val="21"/>
                      <w:szCs w:val="21"/>
                    </w:rPr>
                  </w:pPr>
                </w:p>
              </w:tc>
              <w:tc>
                <w:tcPr>
                  <w:tcW w:w="1414" w:type="dxa"/>
                  <w:tcBorders>
                    <w:tl2br w:val="nil"/>
                    <w:tr2bl w:val="nil"/>
                  </w:tcBorders>
                  <w:tcMar>
                    <w:top w:w="0" w:type="dxa"/>
                    <w:left w:w="0" w:type="dxa"/>
                    <w:bottom w:w="0" w:type="dxa"/>
                    <w:right w:w="0" w:type="dxa"/>
                  </w:tcMar>
                  <w:vAlign w:val="center"/>
                </w:tcPr>
                <w:p>
                  <w:pPr>
                    <w:jc w:val="center"/>
                    <w:rPr>
                      <w:rFonts w:hint="eastAsia" w:ascii="宋体" w:hAnsi="宋体" w:eastAsia="宋体" w:cs="宋体"/>
                      <w:b w:val="0"/>
                      <w:bCs w:val="0"/>
                      <w:kern w:val="2"/>
                      <w:sz w:val="21"/>
                      <w:szCs w:val="21"/>
                      <w:lang w:val="en-US" w:eastAsia="zh-CN" w:bidi="ar-SA"/>
                    </w:rPr>
                  </w:pPr>
                  <w:r>
                    <w:rPr>
                      <w:rFonts w:hint="eastAsia" w:ascii="Times New Roman" w:hAnsi="Times New Roman" w:eastAsia="宋体" w:cs="Times New Roman"/>
                      <w:sz w:val="21"/>
                      <w:szCs w:val="21"/>
                      <w:highlight w:val="none"/>
                      <w:lang w:val="en-US" w:eastAsia="zh-CN"/>
                    </w:rPr>
                    <w:t>废机油桶</w:t>
                  </w:r>
                </w:p>
              </w:tc>
              <w:tc>
                <w:tcPr>
                  <w:tcW w:w="2141" w:type="dxa"/>
                  <w:vMerge w:val="continue"/>
                  <w:tcBorders>
                    <w:tl2br w:val="nil"/>
                    <w:tr2bl w:val="nil"/>
                  </w:tcBorders>
                  <w:tcMar>
                    <w:top w:w="0" w:type="dxa"/>
                    <w:left w:w="0" w:type="dxa"/>
                    <w:bottom w:w="0" w:type="dxa"/>
                    <w:right w:w="0" w:type="dxa"/>
                  </w:tcMar>
                  <w:vAlign w:val="center"/>
                </w:tcPr>
                <w:p>
                  <w:pPr>
                    <w:jc w:val="center"/>
                    <w:rPr>
                      <w:rFonts w:ascii="Times New Roman" w:hAnsi="Times New Roman"/>
                      <w:sz w:val="21"/>
                      <w:szCs w:val="21"/>
                    </w:rPr>
                  </w:pPr>
                </w:p>
              </w:tc>
              <w:tc>
                <w:tcPr>
                  <w:tcW w:w="785"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hint="eastAsia" w:cs="宋体"/>
                      <w:sz w:val="21"/>
                      <w:szCs w:val="21"/>
                      <w:lang w:val="en-US" w:eastAsia="zh-CN" w:bidi="ar-SA"/>
                    </w:rPr>
                    <w:t>/</w:t>
                  </w:r>
                </w:p>
              </w:tc>
              <w:tc>
                <w:tcPr>
                  <w:tcW w:w="1060"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hint="eastAsia" w:cs="宋体"/>
                      <w:sz w:val="21"/>
                      <w:szCs w:val="21"/>
                      <w:lang w:val="en-US" w:eastAsia="zh-CN" w:bidi="ar-SA"/>
                    </w:rPr>
                    <w:t>/</w:t>
                  </w:r>
                </w:p>
              </w:tc>
              <w:tc>
                <w:tcPr>
                  <w:tcW w:w="2891" w:type="dxa"/>
                  <w:tcBorders>
                    <w:tl2br w:val="nil"/>
                    <w:tr2bl w:val="nil"/>
                  </w:tcBorders>
                  <w:tcMar>
                    <w:top w:w="0" w:type="dxa"/>
                    <w:left w:w="0" w:type="dxa"/>
                    <w:bottom w:w="0" w:type="dxa"/>
                    <w:right w:w="0" w:type="dxa"/>
                  </w:tcMar>
                  <w:vAlign w:val="center"/>
                </w:tcPr>
                <w:p>
                  <w:pPr>
                    <w:adjustRightInd w:val="0"/>
                    <w:snapToGrid w:val="0"/>
                    <w:jc w:val="center"/>
                    <w:rPr>
                      <w:rFonts w:ascii="Times New Roman" w:hAnsi="Times New Roman"/>
                      <w:sz w:val="21"/>
                      <w:szCs w:val="21"/>
                    </w:rPr>
                  </w:pPr>
                  <w:r>
                    <w:rPr>
                      <w:rFonts w:hint="eastAsia" w:cs="宋体"/>
                      <w:sz w:val="21"/>
                      <w:szCs w:val="21"/>
                      <w:lang w:val="en-US" w:eastAsia="zh-CN" w:bidi="ar-SA"/>
                    </w:rPr>
                    <w:t>/</w:t>
                  </w:r>
                </w:p>
              </w:tc>
            </w:tr>
          </w:tbl>
          <w:p>
            <w:pPr>
              <w:pStyle w:val="7"/>
              <w:spacing w:line="360" w:lineRule="auto"/>
              <w:jc w:val="both"/>
              <w:rPr>
                <w:rFonts w:hint="default" w:ascii="Times New Roman" w:hAnsi="Times New Roman" w:cs="Times New Roman"/>
                <w:b/>
                <w:bCs/>
                <w:color w:val="0000FF"/>
                <w:lang w:eastAsia="zh-CN"/>
              </w:rPr>
            </w:pPr>
          </w:p>
        </w:tc>
      </w:tr>
    </w:tbl>
    <w:p>
      <w:pPr>
        <w:spacing w:line="360" w:lineRule="auto"/>
        <w:rPr>
          <w:rFonts w:hint="default" w:ascii="Times New Roman" w:hAnsi="Times New Roman" w:cs="Times New Roman"/>
          <w:b/>
          <w:bCs/>
          <w:color w:val="0000FF"/>
          <w:sz w:val="24"/>
          <w:szCs w:val="24"/>
          <w:lang w:eastAsia="zh-CN"/>
        </w:rPr>
      </w:pPr>
      <w:r>
        <w:rPr>
          <w:rFonts w:hint="default" w:ascii="Times New Roman" w:hAnsi="Times New Roman" w:cs="Times New Roman"/>
          <w:b/>
          <w:bCs/>
          <w:color w:val="0000FF"/>
          <w:sz w:val="24"/>
          <w:szCs w:val="24"/>
          <w:lang w:eastAsia="zh-CN"/>
        </w:rPr>
        <w:br w:type="page"/>
      </w:r>
      <w:r>
        <w:rPr>
          <w:rFonts w:hint="default" w:ascii="Times New Roman" w:hAnsi="Times New Roman" w:cs="Times New Roman"/>
          <w:b/>
          <w:bCs/>
          <w:color w:val="auto"/>
          <w:sz w:val="24"/>
          <w:szCs w:val="24"/>
          <w:lang w:eastAsia="zh-CN"/>
        </w:rPr>
        <w:t>表五、建设项目环评报告表的主要结论与建议及审批部门审批决定</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40" w:hRule="atLeast"/>
        </w:trPr>
        <w:tc>
          <w:tcPr>
            <w:tcW w:w="5000" w:type="pct"/>
          </w:tcPr>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5.1 建设项目环评报告书（表）的主要结论与建议</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both"/>
              <w:textAlignment w:val="auto"/>
              <w:outlineLvl w:val="9"/>
              <w:rPr>
                <w:rFonts w:hint="default" w:ascii="Times New Roman" w:hAnsi="Times New Roman" w:cs="Times New Roman"/>
                <w:b/>
                <w:bCs/>
                <w:color w:val="auto"/>
                <w:sz w:val="24"/>
                <w:szCs w:val="24"/>
                <w:vertAlign w:val="baseline"/>
                <w:lang w:val="en-US" w:eastAsia="zh-CN"/>
              </w:rPr>
            </w:pPr>
            <w:r>
              <w:rPr>
                <w:rFonts w:hint="default" w:ascii="Times New Roman" w:hAnsi="Times New Roman" w:cs="Times New Roman"/>
                <w:b/>
                <w:bCs/>
                <w:color w:val="auto"/>
                <w:sz w:val="24"/>
                <w:szCs w:val="24"/>
                <w:vertAlign w:val="baseline"/>
                <w:lang w:val="en-US" w:eastAsia="zh-CN"/>
              </w:rPr>
              <w:t>5.1.1主要结论</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both"/>
              <w:textAlignment w:val="auto"/>
              <w:outlineLvl w:val="9"/>
              <w:rPr>
                <w:rFonts w:hint="eastAsia" w:ascii="Times New Roman" w:hAnsi="Times New Roman"/>
                <w:sz w:val="24"/>
                <w:highlight w:val="none"/>
              </w:rPr>
            </w:pPr>
            <w:r>
              <w:rPr>
                <w:rFonts w:hint="eastAsia" w:ascii="Times New Roman" w:hAnsi="Times New Roman"/>
                <w:sz w:val="24"/>
                <w:highlight w:val="none"/>
              </w:rPr>
              <w:t>本项目建设地点位于临淄区宏达路1618号山东永聚医药科技有限公司现有厂区内，属于临淄经济开发区新医药产业园范围，其建设符合相关产业政策要求，符合城市总体规划要求，其建设和选址是合理的；针对各种可能对环境产生影响的环节，均采取了相应的防治措施，最大限度地降低废气、噪声、固废对环境可能造成的污染，在落实各项环保措施后，所排放的各种污染物能够达到国家相关标准要求，对环境影响较小。因此，从环保角度讲该项目建设是可行的。</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both"/>
              <w:textAlignment w:val="auto"/>
              <w:outlineLvl w:val="9"/>
              <w:rPr>
                <w:rFonts w:hint="default" w:ascii="Times New Roman" w:hAnsi="Times New Roman" w:cs="Times New Roman"/>
                <w:b w:val="0"/>
                <w:bCs w:val="0"/>
                <w:color w:val="auto"/>
                <w:sz w:val="24"/>
                <w:szCs w:val="24"/>
                <w:lang w:val="en-US" w:eastAsia="zh-CN" w:bidi="ar-SA"/>
              </w:rPr>
            </w:pPr>
            <w:r>
              <w:rPr>
                <w:rFonts w:hint="default" w:ascii="Times New Roman" w:hAnsi="Times New Roman" w:cs="Times New Roman"/>
                <w:b w:val="0"/>
                <w:bCs w:val="0"/>
                <w:color w:val="auto"/>
                <w:sz w:val="24"/>
                <w:szCs w:val="24"/>
                <w:lang w:val="en-US" w:eastAsia="zh-CN" w:bidi="ar-SA"/>
              </w:rPr>
              <w:t>项目营运期环境影响：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rPr>
                <w:rFonts w:hint="default" w:ascii="Times New Roman" w:hAnsi="Times New Roman" w:cs="Times New Roman"/>
                <w:b w:val="0"/>
                <w:bCs w:val="0"/>
                <w:sz w:val="24"/>
                <w:szCs w:val="24"/>
                <w:highlight w:val="none"/>
              </w:rPr>
            </w:pPr>
            <w:r>
              <w:rPr>
                <w:rFonts w:hint="default" w:ascii="Times New Roman" w:hAnsi="Times New Roman" w:cs="Times New Roman"/>
                <w:b w:val="0"/>
                <w:bCs w:val="0"/>
                <w:kern w:val="0"/>
                <w:sz w:val="24"/>
                <w:szCs w:val="24"/>
                <w:highlight w:val="none"/>
              </w:rPr>
              <w:t>1、</w:t>
            </w:r>
            <w:r>
              <w:rPr>
                <w:rFonts w:hint="default" w:ascii="Times New Roman" w:hAnsi="Times New Roman" w:cs="Times New Roman"/>
                <w:b w:val="0"/>
                <w:bCs w:val="0"/>
                <w:sz w:val="24"/>
                <w:szCs w:val="24"/>
                <w:highlight w:val="none"/>
              </w:rPr>
              <w:t>水环境影响分析结论</w:t>
            </w:r>
          </w:p>
          <w:p>
            <w:pPr>
              <w:keepNext w:val="0"/>
              <w:keepLines w:val="0"/>
              <w:pageBreakBefore w:val="0"/>
              <w:kinsoku/>
              <w:wordWrap/>
              <w:overflowPunct/>
              <w:topLinePunct w:val="0"/>
              <w:autoSpaceDE w:val="0"/>
              <w:autoSpaceDN w:val="0"/>
              <w:bidi w:val="0"/>
              <w:adjustRightInd/>
              <w:snapToGrid w:val="0"/>
              <w:spacing w:before="0" w:after="0" w:line="360" w:lineRule="auto"/>
              <w:ind w:firstLine="470" w:firstLineChars="196"/>
              <w:textAlignment w:val="auto"/>
              <w:rPr>
                <w:rFonts w:hint="default" w:ascii="Times New Roman" w:hAnsi="Times New Roman" w:cs="Times New Roman"/>
                <w:b w:val="0"/>
                <w:bCs w:val="0"/>
                <w:kern w:val="0"/>
                <w:sz w:val="24"/>
                <w:highlight w:val="none"/>
              </w:rPr>
            </w:pPr>
            <w:r>
              <w:rPr>
                <w:rFonts w:hint="default" w:ascii="Times New Roman" w:hAnsi="Times New Roman" w:cs="Times New Roman"/>
                <w:b w:val="0"/>
                <w:bCs w:val="0"/>
                <w:kern w:val="0"/>
                <w:sz w:val="24"/>
                <w:highlight w:val="none"/>
              </w:rPr>
              <w:t>项目废水主要为职工生活污水，生活污水经化粪池处理</w:t>
            </w:r>
            <w:r>
              <w:rPr>
                <w:rFonts w:hint="eastAsia" w:cs="Times New Roman"/>
                <w:b w:val="0"/>
                <w:bCs w:val="0"/>
                <w:kern w:val="0"/>
                <w:sz w:val="24"/>
                <w:highlight w:val="none"/>
                <w:lang w:val="en-US" w:eastAsia="zh-CN"/>
              </w:rPr>
              <w:t>后通过污水管网</w:t>
            </w:r>
            <w:r>
              <w:rPr>
                <w:rFonts w:hint="default" w:ascii="Times New Roman" w:hAnsi="Times New Roman" w:cs="Times New Roman"/>
                <w:b w:val="0"/>
                <w:bCs w:val="0"/>
                <w:kern w:val="0"/>
                <w:sz w:val="24"/>
                <w:highlight w:val="none"/>
              </w:rPr>
              <w:t>进入齐城污水处理厂处理，不会对地表水环境产生影响。</w:t>
            </w:r>
          </w:p>
          <w:p>
            <w:pPr>
              <w:keepNext w:val="0"/>
              <w:keepLines w:val="0"/>
              <w:pageBreakBefore w:val="0"/>
              <w:kinsoku/>
              <w:wordWrap/>
              <w:overflowPunct/>
              <w:topLinePunct w:val="0"/>
              <w:autoSpaceDE w:val="0"/>
              <w:autoSpaceDN w:val="0"/>
              <w:bidi w:val="0"/>
              <w:adjustRightInd/>
              <w:snapToGrid w:val="0"/>
              <w:spacing w:before="0" w:after="0" w:line="360" w:lineRule="auto"/>
              <w:ind w:firstLine="470" w:firstLineChars="196"/>
              <w:textAlignment w:val="auto"/>
              <w:rPr>
                <w:rFonts w:hint="default" w:ascii="Times New Roman" w:hAnsi="Times New Roman" w:cs="Times New Roman"/>
                <w:b w:val="0"/>
                <w:bCs w:val="0"/>
                <w:sz w:val="24"/>
                <w:highlight w:val="none"/>
              </w:rPr>
            </w:pPr>
            <w:r>
              <w:rPr>
                <w:rFonts w:hint="default" w:ascii="Times New Roman" w:hAnsi="Times New Roman" w:cs="Times New Roman"/>
                <w:b w:val="0"/>
                <w:bCs w:val="0"/>
                <w:kern w:val="0"/>
                <w:sz w:val="24"/>
                <w:highlight w:val="none"/>
              </w:rPr>
              <w:t>2、</w:t>
            </w:r>
            <w:r>
              <w:rPr>
                <w:rFonts w:hint="default" w:ascii="Times New Roman" w:hAnsi="Times New Roman" w:cs="Times New Roman"/>
                <w:b w:val="0"/>
                <w:bCs w:val="0"/>
                <w:sz w:val="24"/>
                <w:highlight w:val="none"/>
              </w:rPr>
              <w:t>环境空气影响分析结论</w:t>
            </w:r>
          </w:p>
          <w:p>
            <w:pPr>
              <w:keepNext w:val="0"/>
              <w:keepLines w:val="0"/>
              <w:pageBreakBefore w:val="0"/>
              <w:kinsoku/>
              <w:wordWrap/>
              <w:overflowPunct/>
              <w:topLinePunct w:val="0"/>
              <w:autoSpaceDE w:val="0"/>
              <w:autoSpaceDN w:val="0"/>
              <w:bidi w:val="0"/>
              <w:adjustRightInd/>
              <w:snapToGrid w:val="0"/>
              <w:spacing w:before="0" w:after="0" w:line="360" w:lineRule="auto"/>
              <w:ind w:firstLine="480" w:firstLineChars="200"/>
              <w:textAlignment w:val="baseline"/>
              <w:rPr>
                <w:rFonts w:hint="default" w:ascii="Times New Roman" w:hAnsi="Times New Roman" w:eastAsia="宋体"/>
                <w:b/>
                <w:bCs/>
                <w:spacing w:val="0"/>
                <w:kern w:val="0"/>
                <w:sz w:val="24"/>
                <w:lang w:val="en-US" w:eastAsia="zh-CN"/>
              </w:rPr>
            </w:pPr>
            <w:r>
              <w:rPr>
                <w:rFonts w:hint="default" w:ascii="Times New Roman" w:hAnsi="Times New Roman" w:cs="Times New Roman"/>
                <w:b w:val="0"/>
                <w:bCs w:val="0"/>
                <w:sz w:val="24"/>
                <w:highlight w:val="none"/>
              </w:rPr>
              <w:t>该项目废气主要为预灌封注射器/预充管生产过程产生的注塑废气（VOCs）和西林瓶生产过程中产生的吹塑废气（VOCs）</w:t>
            </w:r>
            <w:r>
              <w:rPr>
                <w:rFonts w:hint="eastAsia" w:cs="Times New Roman"/>
                <w:b w:val="0"/>
                <w:bCs w:val="0"/>
                <w:sz w:val="24"/>
                <w:highlight w:val="none"/>
                <w:lang w:eastAsia="zh-CN"/>
              </w:rPr>
              <w:t>，</w:t>
            </w:r>
            <w:r>
              <w:rPr>
                <w:rFonts w:hint="eastAsia" w:cs="Times New Roman"/>
                <w:b w:val="0"/>
                <w:bCs w:val="0"/>
                <w:sz w:val="24"/>
                <w:highlight w:val="none"/>
                <w:lang w:val="en-US" w:eastAsia="zh-CN"/>
              </w:rPr>
              <w:t>注塑废气和吹塑废气经负压收集后进入二级活性炭吸附装置处理通过现有DA001排气筒排放，排放速率为0.01kg/h，排放浓度为0.667mg/m</w:t>
            </w:r>
            <w:r>
              <w:rPr>
                <w:rFonts w:hint="eastAsia" w:cs="Times New Roman"/>
                <w:b w:val="0"/>
                <w:bCs w:val="0"/>
                <w:sz w:val="24"/>
                <w:highlight w:val="none"/>
                <w:vertAlign w:val="superscript"/>
                <w:lang w:val="en-US" w:eastAsia="zh-CN"/>
              </w:rPr>
              <w:t>3</w:t>
            </w:r>
            <w:r>
              <w:rPr>
                <w:rFonts w:hint="eastAsia" w:cs="Times New Roman"/>
                <w:b w:val="0"/>
                <w:bCs w:val="0"/>
                <w:sz w:val="24"/>
                <w:highlight w:val="none"/>
                <w:lang w:val="en-US" w:eastAsia="zh-CN"/>
              </w:rPr>
              <w:t>，能够满足《挥发性有机物排放标准  第6部分：有机化工行业》（DB37/2801.6-2018）表1中Ⅱ时段排放限值（VOCs：60mg/m</w:t>
            </w:r>
            <w:r>
              <w:rPr>
                <w:rFonts w:hint="eastAsia" w:cs="Times New Roman"/>
                <w:b w:val="0"/>
                <w:bCs w:val="0"/>
                <w:sz w:val="24"/>
                <w:highlight w:val="none"/>
                <w:vertAlign w:val="superscript"/>
                <w:lang w:val="en-US" w:eastAsia="zh-CN"/>
              </w:rPr>
              <w:t>3</w:t>
            </w:r>
            <w:r>
              <w:rPr>
                <w:rFonts w:hint="eastAsia" w:cs="Times New Roman"/>
                <w:b w:val="0"/>
                <w:bCs w:val="0"/>
                <w:sz w:val="24"/>
                <w:highlight w:val="none"/>
                <w:lang w:val="en-US" w:eastAsia="zh-CN"/>
              </w:rPr>
              <w:t>、3.0kg/h）。</w:t>
            </w:r>
          </w:p>
          <w:p>
            <w:pPr>
              <w:keepNext w:val="0"/>
              <w:keepLines w:val="0"/>
              <w:pageBreakBefore w:val="0"/>
              <w:kinsoku/>
              <w:wordWrap/>
              <w:overflowPunct/>
              <w:topLinePunct w:val="0"/>
              <w:autoSpaceDE w:val="0"/>
              <w:autoSpaceDN w:val="0"/>
              <w:bidi w:val="0"/>
              <w:adjustRightInd w:val="0"/>
              <w:snapToGrid/>
              <w:spacing w:before="0" w:after="0" w:line="360" w:lineRule="auto"/>
              <w:ind w:firstLine="480" w:firstLineChars="200"/>
              <w:textAlignment w:val="auto"/>
              <w:rPr>
                <w:rFonts w:hint="default" w:ascii="Times New Roman" w:hAnsi="Times New Roman" w:cs="Times New Roman"/>
                <w:b w:val="0"/>
                <w:bCs w:val="0"/>
                <w:kern w:val="0"/>
                <w:sz w:val="24"/>
                <w:highlight w:val="none"/>
              </w:rPr>
            </w:pPr>
            <w:r>
              <w:rPr>
                <w:rFonts w:hint="default" w:ascii="Times New Roman" w:hAnsi="Times New Roman" w:cs="Times New Roman"/>
                <w:b w:val="0"/>
                <w:bCs w:val="0"/>
                <w:kern w:val="0"/>
                <w:sz w:val="24"/>
                <w:highlight w:val="none"/>
              </w:rPr>
              <w:t>3、</w:t>
            </w:r>
            <w:r>
              <w:rPr>
                <w:rFonts w:hint="default" w:ascii="Times New Roman" w:hAnsi="Times New Roman" w:cs="Times New Roman"/>
                <w:b w:val="0"/>
                <w:bCs w:val="0"/>
                <w:sz w:val="24"/>
                <w:highlight w:val="none"/>
              </w:rPr>
              <w:t>声环境影响分析结论</w:t>
            </w:r>
          </w:p>
          <w:p>
            <w:pPr>
              <w:keepNext w:val="0"/>
              <w:keepLines w:val="0"/>
              <w:pageBreakBefore w:val="0"/>
              <w:kinsoku/>
              <w:wordWrap/>
              <w:overflowPunct/>
              <w:topLinePunct w:val="0"/>
              <w:bidi w:val="0"/>
              <w:snapToGrid/>
              <w:spacing w:before="0" w:after="0" w:line="360" w:lineRule="auto"/>
              <w:ind w:firstLine="480" w:firstLineChars="200"/>
              <w:textAlignment w:val="auto"/>
              <w:rPr>
                <w:rFonts w:hint="default" w:ascii="Times New Roman" w:hAnsi="Times New Roman" w:cs="Times New Roman"/>
                <w:b w:val="0"/>
                <w:bCs w:val="0"/>
                <w:kern w:val="0"/>
                <w:sz w:val="24"/>
                <w:highlight w:val="none"/>
              </w:rPr>
            </w:pPr>
            <w:r>
              <w:rPr>
                <w:rFonts w:hint="default" w:ascii="Times New Roman" w:hAnsi="Times New Roman" w:cs="Times New Roman"/>
                <w:b w:val="0"/>
                <w:bCs w:val="0"/>
                <w:kern w:val="0"/>
                <w:sz w:val="24"/>
                <w:highlight w:val="none"/>
              </w:rPr>
              <w:t>本项目噪声主要为生产过程中的各机械设备运行时产生的噪声，其声压级约在7</w:t>
            </w:r>
            <w:r>
              <w:rPr>
                <w:rFonts w:hint="eastAsia" w:cs="Times New Roman"/>
                <w:b w:val="0"/>
                <w:bCs w:val="0"/>
                <w:kern w:val="0"/>
                <w:sz w:val="24"/>
                <w:highlight w:val="none"/>
                <w:lang w:val="en-US" w:eastAsia="zh-CN"/>
              </w:rPr>
              <w:t xml:space="preserve">5 </w:t>
            </w:r>
            <w:r>
              <w:rPr>
                <w:rFonts w:hint="default" w:ascii="Times New Roman" w:hAnsi="Times New Roman" w:cs="Times New Roman"/>
                <w:b w:val="0"/>
                <w:bCs w:val="0"/>
                <w:kern w:val="0"/>
                <w:sz w:val="24"/>
                <w:highlight w:val="none"/>
              </w:rPr>
              <w:t>~</w:t>
            </w:r>
            <w:r>
              <w:rPr>
                <w:rFonts w:hint="eastAsia" w:cs="Times New Roman"/>
                <w:b w:val="0"/>
                <w:bCs w:val="0"/>
                <w:kern w:val="0"/>
                <w:sz w:val="24"/>
                <w:highlight w:val="none"/>
                <w:lang w:val="en-US" w:eastAsia="zh-CN"/>
              </w:rPr>
              <w:t xml:space="preserve"> 90</w:t>
            </w:r>
            <w:r>
              <w:rPr>
                <w:rFonts w:hint="default" w:ascii="Times New Roman" w:hAnsi="Times New Roman" w:cs="Times New Roman"/>
                <w:b w:val="0"/>
                <w:bCs w:val="0"/>
                <w:kern w:val="0"/>
                <w:sz w:val="24"/>
                <w:highlight w:val="none"/>
              </w:rPr>
              <w:t>dB（A）之间。本项目通过选用优质、高效、低噪声设备，在设备基础上采取设置隔振、减振设施，再经过距离衰减，到达厂界后噪声符合《工业企业厂界环境噪声排放标准》（GB12348-2008）中的2类标准。因此，噪声对外界声环境影响很小。</w:t>
            </w:r>
          </w:p>
          <w:p>
            <w:pPr>
              <w:keepNext w:val="0"/>
              <w:keepLines w:val="0"/>
              <w:pageBreakBefore w:val="0"/>
              <w:kinsoku/>
              <w:wordWrap/>
              <w:overflowPunct/>
              <w:topLinePunct w:val="0"/>
              <w:bidi w:val="0"/>
              <w:snapToGrid/>
              <w:spacing w:before="0" w:after="0" w:line="360" w:lineRule="auto"/>
              <w:ind w:firstLine="480" w:firstLineChars="200"/>
              <w:textAlignment w:val="auto"/>
              <w:rPr>
                <w:rFonts w:hint="default" w:ascii="Times New Roman" w:hAnsi="Times New Roman" w:cs="Times New Roman"/>
                <w:b w:val="0"/>
                <w:bCs w:val="0"/>
                <w:sz w:val="24"/>
                <w:highlight w:val="none"/>
              </w:rPr>
            </w:pPr>
            <w:r>
              <w:rPr>
                <w:rFonts w:hint="default" w:ascii="Times New Roman" w:hAnsi="Times New Roman" w:cs="Times New Roman"/>
                <w:b w:val="0"/>
                <w:bCs w:val="0"/>
                <w:kern w:val="0"/>
                <w:sz w:val="24"/>
                <w:highlight w:val="none"/>
              </w:rPr>
              <w:t>4、</w:t>
            </w:r>
            <w:r>
              <w:rPr>
                <w:rFonts w:hint="default" w:ascii="Times New Roman" w:hAnsi="Times New Roman" w:cs="Times New Roman"/>
                <w:b w:val="0"/>
                <w:bCs w:val="0"/>
                <w:sz w:val="24"/>
                <w:highlight w:val="none"/>
              </w:rPr>
              <w:t>固体废弃物</w:t>
            </w:r>
            <w:r>
              <w:rPr>
                <w:rFonts w:hint="default" w:ascii="Times New Roman" w:hAnsi="Times New Roman" w:cs="Times New Roman"/>
                <w:b w:val="0"/>
                <w:bCs w:val="0"/>
                <w:color w:val="000000"/>
                <w:sz w:val="24"/>
                <w:highlight w:val="none"/>
              </w:rPr>
              <w:t xml:space="preserve">影响分析结论 </w:t>
            </w:r>
          </w:p>
          <w:p>
            <w:pPr>
              <w:spacing w:line="360" w:lineRule="auto"/>
              <w:ind w:firstLine="480" w:firstLineChars="200"/>
              <w:jc w:val="left"/>
              <w:rPr>
                <w:rFonts w:hint="default" w:ascii="Times New Roman" w:hAnsi="Times New Roman" w:cs="Times New Roman"/>
                <w:b w:val="0"/>
                <w:bCs w:val="0"/>
                <w:sz w:val="24"/>
                <w:highlight w:val="none"/>
              </w:rPr>
            </w:pPr>
            <w:r>
              <w:rPr>
                <w:rFonts w:hint="default" w:ascii="Times New Roman" w:hAnsi="Times New Roman" w:eastAsia="宋体" w:cs="Times New Roman"/>
                <w:sz w:val="24"/>
                <w:highlight w:val="none"/>
              </w:rPr>
              <w:t>固废主要为</w:t>
            </w:r>
            <w:r>
              <w:rPr>
                <w:rFonts w:hint="eastAsia" w:cs="Times New Roman"/>
                <w:sz w:val="24"/>
                <w:highlight w:val="none"/>
                <w:lang w:val="en-US" w:eastAsia="zh-CN"/>
              </w:rPr>
              <w:t>生活垃圾、废包装、废塑料、废机油、废机油桶、废活性炭；</w:t>
            </w:r>
            <w:r>
              <w:rPr>
                <w:rFonts w:hint="default" w:ascii="Times New Roman" w:hAnsi="Times New Roman" w:eastAsia="宋体" w:cs="Times New Roman"/>
                <w:sz w:val="24"/>
                <w:highlight w:val="none"/>
              </w:rPr>
              <w:t>生活垃圾经袋装收集、分类存放后由环卫部门定期清运</w:t>
            </w:r>
            <w:r>
              <w:rPr>
                <w:rFonts w:hint="eastAsia"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rPr>
              <w:t>废包装、废塑料统一收集后外售</w:t>
            </w:r>
            <w:r>
              <w:rPr>
                <w:rFonts w:hint="eastAsia" w:cs="Times New Roman"/>
                <w:sz w:val="24"/>
                <w:highlight w:val="none"/>
                <w:lang w:eastAsia="zh-CN"/>
              </w:rPr>
              <w:t>；</w:t>
            </w:r>
            <w:r>
              <w:rPr>
                <w:rFonts w:hint="default" w:ascii="Times New Roman" w:hAnsi="Times New Roman" w:eastAsia="宋体" w:cs="Times New Roman"/>
                <w:sz w:val="24"/>
                <w:highlight w:val="none"/>
              </w:rPr>
              <w:t>废机油、废机油桶、废活性炭属于危险废物，</w:t>
            </w:r>
            <w:r>
              <w:rPr>
                <w:rFonts w:hint="eastAsia" w:ascii="Times New Roman" w:hAnsi="Times New Roman" w:eastAsia="宋体" w:cs="Times New Roman"/>
                <w:sz w:val="24"/>
                <w:highlight w:val="none"/>
                <w:lang w:val="en-US" w:eastAsia="zh-CN"/>
              </w:rPr>
              <w:t>收集后</w:t>
            </w:r>
            <w:r>
              <w:rPr>
                <w:rFonts w:hint="default" w:ascii="Times New Roman" w:hAnsi="Times New Roman" w:eastAsia="宋体" w:cs="Times New Roman"/>
                <w:sz w:val="24"/>
                <w:highlight w:val="none"/>
              </w:rPr>
              <w:t>暂存于危废库，定期委托有资质单位处置</w:t>
            </w:r>
            <w:r>
              <w:rPr>
                <w:rFonts w:hint="eastAsia" w:cs="Times New Roman"/>
                <w:sz w:val="24"/>
                <w:highlight w:val="none"/>
                <w:lang w:eastAsia="zh-CN"/>
              </w:rPr>
              <w:t>。</w:t>
            </w:r>
          </w:p>
          <w:p>
            <w:pPr>
              <w:keepNext w:val="0"/>
              <w:keepLines w:val="0"/>
              <w:pageBreakBefore w:val="0"/>
              <w:kinsoku/>
              <w:wordWrap/>
              <w:overflowPunct/>
              <w:topLinePunct w:val="0"/>
              <w:bidi w:val="0"/>
              <w:snapToGrid/>
              <w:spacing w:before="0" w:after="0" w:line="360" w:lineRule="auto"/>
              <w:ind w:firstLine="480" w:firstLineChars="200"/>
              <w:textAlignment w:val="auto"/>
              <w:rPr>
                <w:rFonts w:hint="default" w:ascii="Times New Roman" w:hAnsi="Times New Roman" w:cs="Times New Roman"/>
                <w:b w:val="0"/>
                <w:bCs w:val="0"/>
                <w:sz w:val="24"/>
                <w:highlight w:val="none"/>
              </w:rPr>
            </w:pPr>
            <w:r>
              <w:rPr>
                <w:rFonts w:hint="default" w:ascii="Times New Roman" w:hAnsi="Times New Roman" w:cs="Times New Roman"/>
                <w:b w:val="0"/>
                <w:bCs w:val="0"/>
                <w:sz w:val="24"/>
                <w:highlight w:val="none"/>
              </w:rPr>
              <w:t>综上所述，本项目固废均得到合理处置，对周围环境影响较小。</w:t>
            </w:r>
          </w:p>
          <w:p>
            <w:pPr>
              <w:keepNext w:val="0"/>
              <w:keepLines w:val="0"/>
              <w:pageBreakBefore w:val="0"/>
              <w:widowControl/>
              <w:kinsoku/>
              <w:wordWrap/>
              <w:overflowPunct/>
              <w:topLinePunct w:val="0"/>
              <w:bidi w:val="0"/>
              <w:snapToGrid/>
              <w:spacing w:before="0" w:after="0" w:line="360" w:lineRule="auto"/>
              <w:ind w:firstLine="480" w:firstLineChars="200"/>
              <w:textAlignment w:val="auto"/>
              <w:rPr>
                <w:rFonts w:hint="default" w:ascii="Times New Roman" w:hAnsi="Times New Roman" w:cs="Times New Roman"/>
                <w:b w:val="0"/>
                <w:bCs w:val="0"/>
                <w:highlight w:val="none"/>
              </w:rPr>
            </w:pPr>
            <w:r>
              <w:rPr>
                <w:rFonts w:hint="default" w:ascii="Times New Roman" w:hAnsi="Times New Roman" w:cs="Times New Roman"/>
                <w:b w:val="0"/>
                <w:bCs w:val="0"/>
                <w:kern w:val="0"/>
                <w:sz w:val="24"/>
                <w:highlight w:val="none"/>
              </w:rPr>
              <w:t>5、环境风险分析结论</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ascii="Times New Roman" w:hAnsi="Times New Roman" w:cs="Times New Roman"/>
                <w:b w:val="0"/>
                <w:bCs w:val="0"/>
                <w:color w:val="auto"/>
                <w:sz w:val="24"/>
                <w:szCs w:val="24"/>
                <w:lang w:val="en-US" w:eastAsia="zh-CN"/>
              </w:rPr>
            </w:pPr>
            <w:r>
              <w:rPr>
                <w:rFonts w:ascii="Times New Roman" w:hAnsi="Times New Roman"/>
                <w:sz w:val="24"/>
              </w:rPr>
              <w:t>本项目不构成重大危险源，在日常工作中仍须严格执行国家的技术规范和操作规程要求，在认真落实工程拟采取的事故对策后，工程的事故对周围影响处于可接受水平。</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both"/>
              <w:textAlignment w:val="auto"/>
              <w:outlineLvl w:val="9"/>
              <w:rPr>
                <w:rFonts w:hint="default" w:ascii="Times New Roman" w:hAnsi="Times New Roman" w:cs="Times New Roman"/>
                <w:b/>
                <w:bCs/>
                <w:color w:val="auto"/>
                <w:sz w:val="24"/>
                <w:szCs w:val="24"/>
                <w:vertAlign w:val="baseline"/>
                <w:lang w:val="en-US" w:eastAsia="zh-CN"/>
              </w:rPr>
            </w:pPr>
            <w:r>
              <w:rPr>
                <w:rFonts w:hint="default" w:ascii="Times New Roman" w:hAnsi="Times New Roman" w:cs="Times New Roman"/>
                <w:b/>
                <w:bCs/>
                <w:color w:val="auto"/>
                <w:sz w:val="24"/>
                <w:szCs w:val="24"/>
                <w:vertAlign w:val="baseline"/>
                <w:lang w:val="en-US" w:eastAsia="zh-CN"/>
              </w:rPr>
              <w:t>5.1.2建议</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1、严格按照环保规范进行生产，做好环保设施运行记录，制定并实施切实可行的环保管理制度。</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2、为控制噪声，应尽量选用低噪声设备，同时严格采取减振、消声的措施，尽可能降低噪声对周围环境的影响。</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3、加强各防渗区域的巡检和维护工作，确保防渗不破损。</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4、厂房内配备足量灭火设备，加强日常巡查，对职工做好安全教育培训。</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jc w:val="both"/>
              <w:textAlignment w:val="auto"/>
              <w:outlineLvl w:val="9"/>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5.2</w:t>
            </w:r>
            <w:r>
              <w:rPr>
                <w:rFonts w:hint="default" w:ascii="Times New Roman" w:hAnsi="Times New Roman" w:cs="Times New Roman"/>
                <w:b/>
                <w:bCs/>
                <w:color w:val="auto"/>
                <w:sz w:val="24"/>
                <w:szCs w:val="24"/>
                <w:vertAlign w:val="baseline"/>
                <w:lang w:val="en-US" w:eastAsia="zh-CN"/>
              </w:rPr>
              <w:t xml:space="preserve"> </w:t>
            </w:r>
            <w:r>
              <w:rPr>
                <w:rFonts w:hint="default" w:ascii="Times New Roman" w:hAnsi="Times New Roman" w:eastAsia="宋体" w:cs="Times New Roman"/>
                <w:b/>
                <w:bCs/>
                <w:color w:val="auto"/>
                <w:sz w:val="24"/>
                <w:szCs w:val="24"/>
                <w:vertAlign w:val="baseline"/>
                <w:lang w:val="en-US" w:eastAsia="zh-CN"/>
              </w:rPr>
              <w:t>审批部门审批决定</w:t>
            </w:r>
          </w:p>
          <w:p>
            <w:pPr>
              <w:pStyle w:val="18"/>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504"/>
              <w:jc w:val="both"/>
              <w:textAlignment w:val="auto"/>
              <w:rPr>
                <w:rFonts w:hint="default" w:ascii="Times New Roman" w:hAnsi="Times New Roman" w:cs="Times New Roman"/>
                <w:sz w:val="24"/>
              </w:rPr>
            </w:pPr>
            <w:r>
              <w:rPr>
                <w:rFonts w:hint="default" w:ascii="Times New Roman" w:hAnsi="Times New Roman" w:cs="Times New Roman"/>
                <w:snapToGrid w:val="0"/>
                <w:sz w:val="24"/>
              </w:rPr>
              <w:t>本项目于</w:t>
            </w:r>
            <w:r>
              <w:rPr>
                <w:rFonts w:hint="eastAsia" w:ascii="Times New Roman" w:hAnsi="Times New Roman" w:cs="Times New Roman"/>
                <w:snapToGrid w:val="0"/>
                <w:sz w:val="24"/>
                <w:lang w:eastAsia="zh-CN"/>
              </w:rPr>
              <w:t>202</w:t>
            </w:r>
            <w:r>
              <w:rPr>
                <w:rFonts w:hint="eastAsia" w:cs="Times New Roman"/>
                <w:snapToGrid w:val="0"/>
                <w:sz w:val="24"/>
                <w:lang w:val="en-US" w:eastAsia="zh-CN"/>
              </w:rPr>
              <w:t>3</w:t>
            </w:r>
            <w:r>
              <w:rPr>
                <w:rFonts w:hint="eastAsia" w:ascii="Times New Roman" w:hAnsi="Times New Roman" w:cs="Times New Roman"/>
                <w:snapToGrid w:val="0"/>
                <w:sz w:val="24"/>
                <w:lang w:eastAsia="zh-CN"/>
              </w:rPr>
              <w:t>年</w:t>
            </w:r>
            <w:r>
              <w:rPr>
                <w:rFonts w:hint="eastAsia" w:cs="Times New Roman"/>
                <w:snapToGrid w:val="0"/>
                <w:sz w:val="24"/>
                <w:lang w:val="en-US" w:eastAsia="zh-CN"/>
              </w:rPr>
              <w:t>9</w:t>
            </w:r>
            <w:r>
              <w:rPr>
                <w:rFonts w:hint="eastAsia" w:ascii="Times New Roman" w:hAnsi="Times New Roman" w:cs="Times New Roman"/>
                <w:snapToGrid w:val="0"/>
                <w:sz w:val="24"/>
                <w:lang w:eastAsia="zh-CN"/>
              </w:rPr>
              <w:t>月</w:t>
            </w:r>
            <w:r>
              <w:rPr>
                <w:rFonts w:hint="eastAsia" w:cs="Times New Roman"/>
                <w:snapToGrid w:val="0"/>
                <w:sz w:val="24"/>
                <w:lang w:val="en-US" w:eastAsia="zh-CN"/>
              </w:rPr>
              <w:t>4</w:t>
            </w:r>
            <w:r>
              <w:rPr>
                <w:rFonts w:hint="eastAsia" w:ascii="Times New Roman" w:hAnsi="Times New Roman" w:cs="Times New Roman"/>
                <w:snapToGrid w:val="0"/>
                <w:sz w:val="24"/>
                <w:lang w:eastAsia="zh-CN"/>
              </w:rPr>
              <w:t>日</w:t>
            </w:r>
            <w:r>
              <w:rPr>
                <w:rFonts w:hint="default" w:ascii="Times New Roman" w:hAnsi="Times New Roman" w:cs="Times New Roman"/>
                <w:snapToGrid w:val="0"/>
                <w:sz w:val="24"/>
              </w:rPr>
              <w:t>由淄博市生态环境局临淄分局审批通过，并出具审批意见。其审批意见如下：</w:t>
            </w:r>
          </w:p>
          <w:p>
            <w:pPr>
              <w:pStyle w:val="18"/>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504"/>
              <w:jc w:val="both"/>
              <w:textAlignment w:val="auto"/>
              <w:rPr>
                <w:rFonts w:hint="eastAsia" w:ascii="Times New Roman" w:hAnsi="Times New Roman" w:cs="Times New Roman"/>
                <w:sz w:val="24"/>
                <w:lang w:eastAsia="zh-CN"/>
              </w:rPr>
            </w:pPr>
            <w:r>
              <w:rPr>
                <w:rFonts w:hint="default" w:ascii="Times New Roman" w:hAnsi="Times New Roman" w:cs="Times New Roman"/>
                <w:sz w:val="24"/>
              </w:rPr>
              <w:t>经审查，对你公司《</w:t>
            </w:r>
            <w:r>
              <w:rPr>
                <w:rFonts w:hint="eastAsia" w:ascii="Times New Roman" w:hAnsi="Times New Roman" w:cs="Times New Roman"/>
                <w:sz w:val="24"/>
                <w:lang w:eastAsia="zh-CN"/>
              </w:rPr>
              <w:t>山东永聚医药科技有限公司医药包装产业基地塑料加工制造技术改造项目</w:t>
            </w:r>
            <w:r>
              <w:rPr>
                <w:rFonts w:hint="default" w:ascii="Times New Roman" w:hAnsi="Times New Roman" w:cs="Times New Roman"/>
                <w:sz w:val="24"/>
              </w:rPr>
              <w:t>环境影响报告表》（</w:t>
            </w:r>
            <w:r>
              <w:rPr>
                <w:rFonts w:hint="eastAsia" w:ascii="Times New Roman" w:hAnsi="Times New Roman" w:cs="Times New Roman"/>
                <w:sz w:val="24"/>
                <w:lang w:eastAsia="zh-CN"/>
              </w:rPr>
              <w:t>山东美陵中联环境工程有限公司编制</w:t>
            </w:r>
            <w:r>
              <w:rPr>
                <w:rFonts w:hint="default" w:ascii="Times New Roman" w:hAnsi="Times New Roman" w:cs="Times New Roman"/>
                <w:sz w:val="24"/>
              </w:rPr>
              <w:t>），提出审批意见如下</w:t>
            </w:r>
            <w:r>
              <w:rPr>
                <w:rFonts w:hint="eastAsia" w:ascii="Times New Roman" w:hAnsi="Times New Roman" w:cs="Times New Roman"/>
                <w:sz w:val="24"/>
                <w:lang w:eastAsia="zh-CN"/>
              </w:rPr>
              <w:t>：</w:t>
            </w:r>
          </w:p>
          <w:p>
            <w:pPr>
              <w:spacing w:line="360" w:lineRule="auto"/>
              <w:ind w:firstLine="480" w:firstLineChars="200"/>
              <w:rPr>
                <w:rFonts w:hint="eastAsia"/>
                <w:sz w:val="24"/>
                <w:szCs w:val="24"/>
                <w:lang w:eastAsia="zh-CN"/>
              </w:rPr>
            </w:pPr>
            <w:r>
              <w:rPr>
                <w:rFonts w:hint="eastAsia"/>
                <w:sz w:val="24"/>
                <w:szCs w:val="24"/>
                <w:lang w:eastAsia="zh-CN"/>
              </w:rPr>
              <w:t>一、该项目建设地点位于山东省淄博市临淄区凤凰镇宏达路1618号山东永聚医药科技有限公司现有厂区内。项目总投资5200.00万元，环保投资20.00万元。本项目利用现有已建车间进行建设，在现有2#车间1F部分区域进行改造，新增一条预灌封注射器生产线、一条预充管生产线、一条西林瓶生产线；购置配套的注塑机、吹瓶机、空压机等国产设备或国外先进设备，水电等公用工程依托现有，项目建成后实现年产预灌封注射器198</w:t>
            </w:r>
            <w:r>
              <w:rPr>
                <w:rFonts w:hint="eastAsia"/>
                <w:sz w:val="24"/>
                <w:szCs w:val="24"/>
                <w:lang w:val="en-US" w:eastAsia="zh-CN"/>
              </w:rPr>
              <w:t>0</w:t>
            </w:r>
            <w:r>
              <w:rPr>
                <w:rFonts w:hint="eastAsia"/>
                <w:sz w:val="24"/>
                <w:szCs w:val="24"/>
                <w:lang w:eastAsia="zh-CN"/>
              </w:rPr>
              <w:t>万支、预充管6720万支、西林瓶190</w:t>
            </w:r>
            <w:r>
              <w:rPr>
                <w:rFonts w:hint="eastAsia"/>
                <w:sz w:val="24"/>
                <w:szCs w:val="24"/>
                <w:lang w:val="en-US" w:eastAsia="zh-CN"/>
              </w:rPr>
              <w:t>0</w:t>
            </w:r>
            <w:r>
              <w:rPr>
                <w:rFonts w:hint="eastAsia"/>
                <w:sz w:val="24"/>
                <w:szCs w:val="24"/>
                <w:lang w:eastAsia="zh-CN"/>
              </w:rPr>
              <w:t>万只的生产能力。根据环评结论，符合国家及当地政策要求，在落实各项污染防治措施的基础上，从环境保护角度可行，经研究，同意该项目按照环评工艺及地点进行建设。</w:t>
            </w:r>
          </w:p>
          <w:p>
            <w:pPr>
              <w:spacing w:line="360" w:lineRule="auto"/>
              <w:ind w:firstLine="480" w:firstLineChars="200"/>
              <w:rPr>
                <w:rFonts w:hint="eastAsia"/>
                <w:sz w:val="24"/>
                <w:szCs w:val="24"/>
                <w:lang w:eastAsia="zh-CN"/>
              </w:rPr>
            </w:pPr>
            <w:r>
              <w:rPr>
                <w:rFonts w:hint="eastAsia"/>
                <w:sz w:val="24"/>
                <w:szCs w:val="24"/>
                <w:lang w:eastAsia="zh-CN"/>
              </w:rPr>
              <w:t>二、该项目在建设及运营过程中必须严格落实环境影响报告表提出的各项环保要求，并须做好以下工作：</w:t>
            </w:r>
          </w:p>
          <w:p>
            <w:pPr>
              <w:spacing w:line="360" w:lineRule="auto"/>
              <w:ind w:firstLine="480" w:firstLineChars="200"/>
              <w:rPr>
                <w:rFonts w:hint="eastAsia"/>
                <w:sz w:val="24"/>
                <w:szCs w:val="24"/>
                <w:lang w:eastAsia="zh-CN"/>
              </w:rPr>
            </w:pPr>
            <w:r>
              <w:rPr>
                <w:rFonts w:hint="eastAsia"/>
                <w:sz w:val="24"/>
                <w:szCs w:val="24"/>
                <w:lang w:eastAsia="zh-CN"/>
              </w:rPr>
              <w:t>1.加强原材物料管理，物料储存区、生产装置区、道路运输区地面水泥硬化；及时对地面进行清理，确保厂区地面干净、整洁。按“清污分流、雨污分流”原则建设厂区给排水管网系统，并采用有效的防渗措施。冷却水循环使用，不外排；生活污水经化粪池预处理后经市政污水管网排入齐城污水处理厂进一步处理。确保废水排放满足《污水综合排放标准》（GB8978-1996）表</w:t>
            </w:r>
            <w:r>
              <w:rPr>
                <w:rFonts w:hint="eastAsia"/>
                <w:sz w:val="24"/>
                <w:szCs w:val="24"/>
                <w:lang w:val="en-US" w:eastAsia="zh-CN"/>
              </w:rPr>
              <w:t xml:space="preserve"> 4</w:t>
            </w:r>
            <w:r>
              <w:rPr>
                <w:rFonts w:hint="eastAsia"/>
                <w:sz w:val="24"/>
                <w:szCs w:val="24"/>
                <w:lang w:eastAsia="zh-CN"/>
              </w:rPr>
              <w:t>三级标准及齐城污水处理厂进水水质要求。</w:t>
            </w:r>
          </w:p>
          <w:p>
            <w:pPr>
              <w:spacing w:line="360" w:lineRule="auto"/>
              <w:ind w:firstLine="480" w:firstLineChars="200"/>
              <w:rPr>
                <w:rFonts w:hint="eastAsia"/>
                <w:sz w:val="24"/>
                <w:szCs w:val="24"/>
                <w:lang w:eastAsia="zh-CN"/>
              </w:rPr>
            </w:pPr>
            <w:r>
              <w:rPr>
                <w:rFonts w:hint="eastAsia"/>
                <w:sz w:val="24"/>
                <w:szCs w:val="24"/>
                <w:lang w:eastAsia="zh-CN"/>
              </w:rPr>
              <w:t>2.加强生产管理，强化源头控制。拟建项目预灌封注射器/预充管生产线以及西林瓶生产线均布置在密闭车间2#车间1F，注塑/吹塑工序产生的废气通过抽风系统对车间废气进行收集，管道输送至现有1#二级活性炭吸附装置处理后通过现有DA001排气筒排放。确保有组织废气满足《山东省挥发性有机物排放标准</w:t>
            </w:r>
            <w:r>
              <w:rPr>
                <w:rFonts w:hint="eastAsia"/>
                <w:sz w:val="24"/>
                <w:szCs w:val="24"/>
                <w:lang w:val="en-US" w:eastAsia="zh-CN"/>
              </w:rPr>
              <w:t xml:space="preserve"> </w:t>
            </w:r>
            <w:r>
              <w:rPr>
                <w:rFonts w:hint="eastAsia"/>
                <w:sz w:val="24"/>
                <w:szCs w:val="24"/>
                <w:lang w:eastAsia="zh-CN"/>
              </w:rPr>
              <w:t>第6部分：有机化工行业》（DB 37/2801.6-2018）中表1其他行业Ⅱ时段的排放限值要求。</w:t>
            </w:r>
          </w:p>
          <w:p>
            <w:pPr>
              <w:spacing w:line="360" w:lineRule="auto"/>
              <w:ind w:firstLine="480" w:firstLineChars="200"/>
              <w:rPr>
                <w:rFonts w:hint="eastAsia"/>
                <w:sz w:val="24"/>
                <w:szCs w:val="24"/>
                <w:lang w:eastAsia="zh-CN"/>
              </w:rPr>
            </w:pPr>
            <w:r>
              <w:rPr>
                <w:rFonts w:hint="eastAsia"/>
                <w:sz w:val="24"/>
                <w:szCs w:val="24"/>
                <w:lang w:eastAsia="zh-CN"/>
              </w:rPr>
              <w:t>加强设备与场所密闭管理，采取有效的防范措施，有效控制无组织排放。严格按照《挥发性有机物无组织排放控制标准》（GB37822-2019）以及《重点行业挥发性有机物综合治理方案》中相关要求管理。确保废气的无组织排放满足《山东省挥发性有机物排放标准</w:t>
            </w:r>
            <w:r>
              <w:rPr>
                <w:rFonts w:hint="eastAsia"/>
                <w:sz w:val="24"/>
                <w:szCs w:val="24"/>
                <w:lang w:val="en-US" w:eastAsia="zh-CN"/>
              </w:rPr>
              <w:t xml:space="preserve"> </w:t>
            </w:r>
            <w:r>
              <w:rPr>
                <w:rFonts w:hint="eastAsia"/>
                <w:sz w:val="24"/>
                <w:szCs w:val="24"/>
                <w:lang w:eastAsia="zh-CN"/>
              </w:rPr>
              <w:t>第6部分：有机化工行业》（DB 37/ 2801.6-2018）中表3厂界监控点浓度限值要求。</w:t>
            </w:r>
          </w:p>
          <w:p>
            <w:pPr>
              <w:spacing w:line="360" w:lineRule="auto"/>
              <w:ind w:firstLine="480" w:firstLineChars="200"/>
              <w:rPr>
                <w:rFonts w:hint="eastAsia"/>
                <w:sz w:val="24"/>
                <w:szCs w:val="24"/>
                <w:lang w:eastAsia="zh-CN"/>
              </w:rPr>
            </w:pPr>
            <w:r>
              <w:rPr>
                <w:rFonts w:hint="eastAsia"/>
                <w:sz w:val="24"/>
                <w:szCs w:val="24"/>
                <w:lang w:eastAsia="zh-CN"/>
              </w:rPr>
              <w:t>3.按固体废物“减量化、资源化、无害化”处置原则落实各类固体废物的收集、处置和综合利用措施。生活垃圾由环卫部门定期清运；废塑料、废包装属于一般固废，统一收集后外售处理。废机油、废机油桶、废活性炭属于危险废物，按照危险废物管理的相关规定妥善收集、储存，交由有资质的单位进行处理并做好转移台账记录，不得随意弃置。一般固体废物暂存应满足相应防渗漏、防雨淋、防扬尘等环境保护要求。危险废物按照《危险废物贮存污染控制标准》（GB18597-2023）相关规定进行储存，固废转移建立完善的记录台帐，危险废物严格执行《危险废物转移管理办法》。</w:t>
            </w:r>
          </w:p>
          <w:p>
            <w:pPr>
              <w:spacing w:line="360" w:lineRule="auto"/>
              <w:ind w:firstLine="480" w:firstLineChars="200"/>
              <w:rPr>
                <w:rFonts w:hint="eastAsia"/>
                <w:sz w:val="24"/>
                <w:szCs w:val="24"/>
                <w:lang w:eastAsia="zh-CN"/>
              </w:rPr>
            </w:pPr>
            <w:r>
              <w:rPr>
                <w:rFonts w:hint="eastAsia"/>
                <w:sz w:val="24"/>
                <w:szCs w:val="24"/>
                <w:lang w:eastAsia="zh-CN"/>
              </w:rPr>
              <w:t>4.合理规范布局，优先选用低噪声设备，对高噪声设备采取有效减振、消音、隔声等措施，确保运营期噪声满足《工业企业厂界环境噪声排放标准》（GB12348-2008）中的2类功能区标准要求。</w:t>
            </w:r>
          </w:p>
          <w:p>
            <w:pPr>
              <w:spacing w:line="360" w:lineRule="auto"/>
              <w:ind w:firstLine="480" w:firstLineChars="200"/>
              <w:rPr>
                <w:rFonts w:hint="eastAsia"/>
                <w:sz w:val="24"/>
                <w:szCs w:val="24"/>
                <w:lang w:eastAsia="zh-CN"/>
              </w:rPr>
            </w:pPr>
            <w:r>
              <w:rPr>
                <w:rFonts w:hint="eastAsia"/>
                <w:sz w:val="24"/>
                <w:szCs w:val="24"/>
                <w:lang w:eastAsia="zh-CN"/>
              </w:rPr>
              <w:t>5.该项目建成后，该项目主要污染物排放量应控制在该项目确认的总量控制指标之内，并严格按照《排污许可管理条例》及《固定污染源排污许可分类管理名录》等相关要求，在项目验收之前取得排污许可证或者填报排污登记表，做好排污许可证的申请、变更工作。</w:t>
            </w:r>
          </w:p>
          <w:p>
            <w:pPr>
              <w:spacing w:line="360" w:lineRule="auto"/>
              <w:ind w:firstLine="480" w:firstLineChars="200"/>
              <w:rPr>
                <w:rFonts w:hint="eastAsia"/>
                <w:sz w:val="24"/>
                <w:szCs w:val="24"/>
                <w:lang w:eastAsia="zh-CN"/>
              </w:rPr>
            </w:pPr>
            <w:r>
              <w:rPr>
                <w:rFonts w:hint="eastAsia"/>
                <w:sz w:val="24"/>
                <w:szCs w:val="24"/>
                <w:lang w:eastAsia="zh-CN"/>
              </w:rPr>
              <w:t>6.各有组织排气筒须按规范要求设置永久性监测采样孔和采样平台。严格按照《淄博市污染源自动监控条例》等相关要求，凡符合安装要求的必须安装自动监控系统；排污单位应按照相关法律、法规和技术规范要求，建立健全管理制度以及运行台账，负责污染源自动监测设施的运行、维护、管理及故障维修，并接受相关部门监督管理。</w:t>
            </w:r>
          </w:p>
          <w:p>
            <w:pPr>
              <w:spacing w:line="360" w:lineRule="auto"/>
              <w:ind w:firstLine="480" w:firstLineChars="200"/>
              <w:rPr>
                <w:rFonts w:hint="eastAsia"/>
                <w:sz w:val="24"/>
                <w:szCs w:val="24"/>
                <w:lang w:eastAsia="zh-CN"/>
              </w:rPr>
            </w:pPr>
            <w:r>
              <w:rPr>
                <w:rFonts w:hint="eastAsia"/>
                <w:sz w:val="24"/>
                <w:szCs w:val="24"/>
                <w:lang w:eastAsia="zh-CN"/>
              </w:rPr>
              <w:t>7.加强环境风险防范措施。企业应对各风险源设置完善的预防措施和应急预案，落实应急防范与减缓措施，防止事故发生。根据环境风险评价、环境应急预案和厂区实际现状，建设相配套应急装备和监测仪器，在非事故状态下不得占用，并定期进行维修保养；加强环境风险管理，对风险评价实行动态管理，保证事故发生时立即进入应急状态，确保环境安全。定期开展环境风险应急培训和演练，切实加强事故应急处理和防范能力。</w:t>
            </w:r>
          </w:p>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sz w:val="24"/>
                <w:szCs w:val="24"/>
                <w:lang w:eastAsia="zh-CN"/>
              </w:rPr>
            </w:pPr>
            <w:r>
              <w:rPr>
                <w:rFonts w:hint="eastAsia"/>
                <w:sz w:val="24"/>
                <w:szCs w:val="24"/>
                <w:lang w:eastAsia="zh-CN"/>
              </w:rPr>
              <w:t>三、建立健全环境管理制度，加强企业内部环保设施运行管理和操作人员的培训，不断提高其管理和实际运行操作能力，确保各类污染物处理设施安全稳定运行和各项污染物长期稳定达标排放。加强环保宣传教育，制定环保管理制度，设置环保宣传栏；按有关要求规范设置环保图形标志、环保治理设施标示牌。落实报告表提出的环境管理及监测计划。</w:t>
            </w:r>
          </w:p>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sz w:val="24"/>
                <w:szCs w:val="24"/>
                <w:lang w:eastAsia="zh-CN"/>
              </w:rPr>
            </w:pPr>
            <w:r>
              <w:rPr>
                <w:rFonts w:hint="eastAsia"/>
                <w:sz w:val="24"/>
                <w:szCs w:val="24"/>
                <w:lang w:eastAsia="zh-CN"/>
              </w:rPr>
              <w:t>四、该项目若遇规划布局调整，须无条件停产并按规划要求进行搬迁，若遇环境信访或污染事件，经查实须立即停产整治。若该项目的性质、规模、地点、采用的生产工艺或者防治污染、防止生态破坏的措施发生重大变动的，须重新向生态环境部门报批环境影响评价文件。环保设施的安装及改造，须符合安全方面的有关要求。</w:t>
            </w:r>
          </w:p>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sz w:val="24"/>
                <w:szCs w:val="24"/>
                <w:lang w:eastAsia="zh-CN"/>
              </w:rPr>
            </w:pPr>
            <w:r>
              <w:rPr>
                <w:rFonts w:hint="eastAsia"/>
                <w:sz w:val="24"/>
                <w:szCs w:val="24"/>
                <w:lang w:eastAsia="zh-CN"/>
              </w:rPr>
              <w:t>五、你公司应当对施工期、运营期的环保设施与生产设施一起开展安全风险辨识管理。不得采用国家、地方淘汰的设备、产品和工艺，应当委托有资质的设计单位进行正规设计，施工单位要按照设计方案和相关施工技术标准规范施工，严格落实安全生产相关技术要求。</w:t>
            </w:r>
          </w:p>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sz w:val="24"/>
                <w:szCs w:val="24"/>
                <w:lang w:eastAsia="zh-CN"/>
              </w:rPr>
            </w:pPr>
            <w:r>
              <w:rPr>
                <w:rFonts w:hint="eastAsia"/>
                <w:sz w:val="24"/>
                <w:szCs w:val="24"/>
                <w:lang w:eastAsia="zh-CN"/>
              </w:rPr>
              <w:t>六、项目建成后，要按照《建设项目环境保护管理条例》、《建设项目竣工环境保护验收暂行办法》要求，及时组织建设项目竣工验收，经验收合格后方可正式投入使</w:t>
            </w:r>
            <w:r>
              <w:rPr>
                <w:rFonts w:hint="eastAsia"/>
                <w:sz w:val="24"/>
                <w:szCs w:val="24"/>
                <w:lang w:val="en-US" w:eastAsia="zh-CN"/>
              </w:rPr>
              <w:t>用。</w:t>
            </w:r>
          </w:p>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项目环评批复落实情况见下表。</w:t>
            </w:r>
          </w:p>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9"/>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w:t>
            </w:r>
            <w:r>
              <w:rPr>
                <w:rFonts w:hint="eastAsia" w:ascii="Times New Roman" w:hAnsi="Times New Roman" w:cs="Times New Roman"/>
                <w:b/>
                <w:bCs/>
                <w:color w:val="auto"/>
                <w:lang w:val="en-US" w:eastAsia="zh-CN"/>
              </w:rPr>
              <w:t>5-1</w:t>
            </w:r>
            <w:r>
              <w:rPr>
                <w:rFonts w:hint="default" w:ascii="Times New Roman" w:hAnsi="Times New Roman" w:cs="Times New Roman"/>
                <w:b/>
                <w:bCs/>
                <w:color w:val="auto"/>
                <w:lang w:val="en-US" w:eastAsia="zh-CN"/>
              </w:rPr>
              <w:t xml:space="preserve">  项目环评批复落实情况一览表</w:t>
            </w:r>
          </w:p>
          <w:tbl>
            <w:tblPr>
              <w:tblStyle w:val="20"/>
              <w:tblW w:w="88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7"/>
              <w:gridCol w:w="3587"/>
              <w:gridCol w:w="3500"/>
              <w:gridCol w:w="9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737"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3587"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环评批复要求</w:t>
                  </w:r>
                </w:p>
              </w:tc>
              <w:tc>
                <w:tcPr>
                  <w:tcW w:w="3500"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b/>
                      <w:bCs/>
                      <w:color w:val="0000FF"/>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落实情况</w:t>
                  </w:r>
                </w:p>
              </w:tc>
              <w:tc>
                <w:tcPr>
                  <w:tcW w:w="976"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37"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3587"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加强原材物料管理，物料储存区、生产装置区、道路运输区地面水泥硬化；及时对地面进行清理，确保厂区地面干净、整洁。按</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清污分流、雨污分流</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原则建设厂区给排水管网系统，并采用有效的防渗措施。冷却水循环使用，不外排；生活污水经化粪池预处理后经市政污水管网排入齐城污水处理厂进一步处理。确保废水排放满足《污水综合排放标准》（GB8978-1996）表 4三级标准及齐城污水处理厂进水水质要求。</w:t>
                  </w:r>
                </w:p>
              </w:tc>
              <w:tc>
                <w:tcPr>
                  <w:tcW w:w="35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outlineLvl w:val="9"/>
                    <w:rPr>
                      <w:rFonts w:hint="default" w:ascii="Times New Roman" w:hAnsi="Times New Roman" w:eastAsia="宋体" w:cs="Times New Roman"/>
                      <w:b w:val="0"/>
                      <w:bCs w:val="0"/>
                      <w:color w:val="auto"/>
                      <w:sz w:val="21"/>
                      <w:szCs w:val="21"/>
                      <w:vertAlign w:val="baseline"/>
                      <w:lang w:val="en-US" w:eastAsia="zh-CN" w:bidi="ar-SA"/>
                    </w:rPr>
                  </w:pPr>
                  <w:r>
                    <w:rPr>
                      <w:rFonts w:hint="eastAsia" w:cs="Times New Roman"/>
                      <w:b w:val="0"/>
                      <w:bCs w:val="0"/>
                      <w:color w:val="auto"/>
                      <w:sz w:val="21"/>
                      <w:szCs w:val="21"/>
                      <w:vertAlign w:val="baseline"/>
                      <w:lang w:val="en-US" w:eastAsia="zh-CN" w:bidi="ar-SA"/>
                    </w:rPr>
                    <w:t>加强</w:t>
                  </w:r>
                  <w:r>
                    <w:rPr>
                      <w:rFonts w:hint="eastAsia" w:ascii="Times New Roman" w:hAnsi="Times New Roman" w:cs="Times New Roman"/>
                      <w:b w:val="0"/>
                      <w:bCs w:val="0"/>
                      <w:color w:val="auto"/>
                      <w:sz w:val="21"/>
                      <w:szCs w:val="21"/>
                      <w:vertAlign w:val="baseline"/>
                      <w:lang w:val="en-US" w:eastAsia="zh-CN" w:bidi="ar-SA"/>
                    </w:rPr>
                    <w:t>原材物料管理，</w:t>
                  </w:r>
                  <w:r>
                    <w:rPr>
                      <w:rFonts w:hint="eastAsia" w:cs="Times New Roman"/>
                      <w:b w:val="0"/>
                      <w:bCs w:val="0"/>
                      <w:color w:val="auto"/>
                      <w:sz w:val="21"/>
                      <w:szCs w:val="21"/>
                      <w:vertAlign w:val="baseline"/>
                      <w:lang w:val="en-US" w:eastAsia="zh-CN" w:bidi="ar-SA"/>
                    </w:rPr>
                    <w:t>项目</w:t>
                  </w:r>
                  <w:r>
                    <w:rPr>
                      <w:rFonts w:hint="eastAsia" w:ascii="Times New Roman" w:hAnsi="Times New Roman" w:cs="Times New Roman"/>
                      <w:b w:val="0"/>
                      <w:bCs w:val="0"/>
                      <w:color w:val="auto"/>
                      <w:sz w:val="21"/>
                      <w:szCs w:val="21"/>
                      <w:vertAlign w:val="baseline"/>
                      <w:lang w:val="en-US" w:eastAsia="zh-CN" w:bidi="ar-SA"/>
                    </w:rPr>
                    <w:t>物料储存区、生产装置区、道路运输区地面水泥硬化；及时对地面进行清理，确保厂区地面干净、整洁。按“清污分流、雨污分流”原则建设厂区给排水管网系统，并采用有效的防渗措施。冷却水循环使用，不外排；生活污水经化粪池预处理后经市政污水管网排入齐城污水处理厂进一步处理</w:t>
                  </w:r>
                  <w:r>
                    <w:rPr>
                      <w:rFonts w:hint="eastAsia" w:cs="Times New Roman"/>
                      <w:b w:val="0"/>
                      <w:bCs w:val="0"/>
                      <w:color w:val="auto"/>
                      <w:sz w:val="21"/>
                      <w:szCs w:val="21"/>
                      <w:vertAlign w:val="baseline"/>
                      <w:lang w:val="en-US" w:eastAsia="zh-CN" w:bidi="ar-SA"/>
                    </w:rPr>
                    <w:t>，</w:t>
                  </w:r>
                  <w:r>
                    <w:rPr>
                      <w:rFonts w:hint="eastAsia" w:ascii="Times New Roman" w:hAnsi="Times New Roman" w:cs="Times New Roman"/>
                      <w:b w:val="0"/>
                      <w:bCs w:val="0"/>
                      <w:color w:val="auto"/>
                      <w:sz w:val="21"/>
                      <w:szCs w:val="21"/>
                      <w:vertAlign w:val="baseline"/>
                      <w:lang w:val="en-US" w:eastAsia="zh-CN" w:bidi="ar-SA"/>
                    </w:rPr>
                    <w:t>废水排放满足《污水综合排放标准》（GB8978-1996）表 4三级标准及齐城污水处理厂进水水质要求。</w:t>
                  </w:r>
                </w:p>
              </w:tc>
              <w:tc>
                <w:tcPr>
                  <w:tcW w:w="976"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737"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3587"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right="0" w:rightChars="0"/>
                    <w:jc w:val="both"/>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加强生产管理，强化源头控制。拟建项目预灌封注射器/预充管生产线以及西林瓶生产线均布置在密闭车间2#车间1F，注塑/吹塑工序产生的废气通过抽风系统对车间废气进行收集，管道输送至现有1#二级活性炭吸附装置处理后通过现有DA001排气筒排放。确保有组织废气满足《山东省挥发性有机物排放标准 第6部分：有机化工行业》（DB 37/2801.6-2018）中表1其他行业Ⅱ时段的排放限值要求。</w:t>
                  </w:r>
                </w:p>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right="0" w:rightChars="0"/>
                    <w:jc w:val="both"/>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加强设备与场所密闭管理，采取有效的防范措施，有效控制无组织排放。严格按照《挥发性有机物无组织排放控制标准》（GB37822-2019）以及《重点行业挥发性有机物综合治理方案》中相关要求管理。确保废气的无组织排放满足《山东省挥发性有机物排放标准 第6部分</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有机化工行业》（DB 37/ 2801.6-2018）中表3厂界监控点浓度限值要求。</w:t>
                  </w:r>
                </w:p>
              </w:tc>
              <w:tc>
                <w:tcPr>
                  <w:tcW w:w="3500"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0" w:right="0" w:rightChars="0"/>
                    <w:jc w:val="both"/>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加强生产管理，强化源头控制。项目预灌封注射器/预充管生产线以及西林瓶生产线均布置在密闭车间2#车间1F，注塑/吹塑工序产生的废气通过抽风系统对车间废气进行收集，管道输送至现有1#二级活性炭吸附装置处理后通过现有DA001排气筒排放</w:t>
                  </w:r>
                  <w:r>
                    <w:rPr>
                      <w:rFonts w:hint="eastAsia" w:ascii="Times New Roman" w:hAnsi="Times New Roman" w:cs="Times New Roman"/>
                      <w:color w:val="auto"/>
                      <w:sz w:val="21"/>
                      <w:szCs w:val="21"/>
                      <w:vertAlign w:val="baseline"/>
                      <w:lang w:val="en-US" w:eastAsia="zh-CN"/>
                    </w:rPr>
                    <w:t>，有组织</w:t>
                  </w:r>
                  <w:r>
                    <w:rPr>
                      <w:rFonts w:hint="default" w:ascii="Times New Roman" w:hAnsi="Times New Roman" w:cs="Times New Roman"/>
                      <w:color w:val="auto"/>
                      <w:sz w:val="21"/>
                      <w:szCs w:val="21"/>
                      <w:vertAlign w:val="baseline"/>
                      <w:lang w:val="en-US" w:eastAsia="zh-CN"/>
                    </w:rPr>
                    <w:t>废气满足《山东省挥发性有机物排放标准</w:t>
                  </w:r>
                  <w:r>
                    <w:rPr>
                      <w:rFonts w:hint="eastAsia" w:ascii="Times New Roman" w:hAnsi="Times New Roman" w:cs="Times New Roman"/>
                      <w:color w:val="auto"/>
                      <w:sz w:val="21"/>
                      <w:szCs w:val="21"/>
                      <w:vertAlign w:val="baseline"/>
                      <w:lang w:val="en-US" w:eastAsia="zh-CN"/>
                    </w:rPr>
                    <w:t xml:space="preserve"> </w:t>
                  </w:r>
                  <w:r>
                    <w:rPr>
                      <w:rFonts w:hint="default" w:ascii="Times New Roman" w:hAnsi="Times New Roman" w:cs="Times New Roman"/>
                      <w:color w:val="auto"/>
                      <w:sz w:val="21"/>
                      <w:szCs w:val="21"/>
                      <w:vertAlign w:val="baseline"/>
                      <w:lang w:val="en-US" w:eastAsia="zh-CN"/>
                    </w:rPr>
                    <w:t xml:space="preserve"> 第6部分：有机化工行业》（DB 37/2801.6-2018）中表1其他行业Ⅱ时段的排放限值要求。</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加强设备与场所密闭管理，采取有效的防范措施，有效控制无组织排放。严格按照《挥发性有机物无组织排放控制标准》（GB37822-2019）以及《重点行业挥发性有机物综合治理方案》中相关要求管理</w:t>
                  </w:r>
                  <w:r>
                    <w:rPr>
                      <w:rFonts w:hint="eastAsia" w:cs="Times New Roman"/>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废气的无组织排放满足《山东省挥发性有机物排放标准 第6部分：有机化工行业》（DB 37/ 2801.6-2018）中表3厂界监控点浓度限值要求。</w:t>
                  </w:r>
                </w:p>
              </w:tc>
              <w:tc>
                <w:tcPr>
                  <w:tcW w:w="976"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37"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3587"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按固体废物</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减量化、资源化、无害化</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处置原则落实各类固体废物的收集、处置和综合利用措施。生活垃圾由环卫部门定期清运；废塑料、废包装属于一般固废，统一收集后外售处理。废机油、废机油桶、废活性炭属于危险废物，按照危险废物管理的相关规定妥善收集、储存，交由有资质的单位进行处理并做好转移台账记录，不得随意弃置。一般固体废物暂存应满足相应防渗漏、防雨淋、防扬尘等环境保护要求。危险废物按照《危险废物贮存污染控制标准》（GB18597-2023）相关规定进行储存，固废转移建立完善的记录台帐，危险废物严格执行《危险废物转移管理办法》。</w:t>
                  </w:r>
                </w:p>
              </w:tc>
              <w:tc>
                <w:tcPr>
                  <w:tcW w:w="35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outlineLvl w:val="9"/>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按固体废物</w:t>
                  </w:r>
                  <w:r>
                    <w:rPr>
                      <w:rFonts w:hint="eastAsia" w:cs="Times New Roman"/>
                      <w:b w:val="0"/>
                      <w:bCs w:val="0"/>
                      <w:color w:val="auto"/>
                      <w:sz w:val="21"/>
                      <w:szCs w:val="21"/>
                      <w:vertAlign w:val="baseline"/>
                      <w:lang w:val="en-US" w:eastAsia="zh-CN" w:bidi="ar-SA"/>
                    </w:rPr>
                    <w:t>“</w:t>
                  </w:r>
                  <w:r>
                    <w:rPr>
                      <w:rFonts w:hint="default" w:ascii="Times New Roman" w:hAnsi="Times New Roman" w:eastAsia="宋体" w:cs="Times New Roman"/>
                      <w:b w:val="0"/>
                      <w:bCs w:val="0"/>
                      <w:color w:val="auto"/>
                      <w:sz w:val="21"/>
                      <w:szCs w:val="21"/>
                      <w:vertAlign w:val="baseline"/>
                      <w:lang w:val="en-US" w:eastAsia="zh-CN" w:bidi="ar-SA"/>
                    </w:rPr>
                    <w:t>减量化、资源化、无害化</w:t>
                  </w:r>
                  <w:r>
                    <w:rPr>
                      <w:rFonts w:hint="eastAsia" w:cs="Times New Roman"/>
                      <w:b w:val="0"/>
                      <w:bCs w:val="0"/>
                      <w:color w:val="auto"/>
                      <w:sz w:val="21"/>
                      <w:szCs w:val="21"/>
                      <w:vertAlign w:val="baseline"/>
                      <w:lang w:val="en-US" w:eastAsia="zh-CN" w:bidi="ar-SA"/>
                    </w:rPr>
                    <w:t>”</w:t>
                  </w:r>
                  <w:r>
                    <w:rPr>
                      <w:rFonts w:hint="default" w:ascii="Times New Roman" w:hAnsi="Times New Roman" w:eastAsia="宋体" w:cs="Times New Roman"/>
                      <w:b w:val="0"/>
                      <w:bCs w:val="0"/>
                      <w:color w:val="auto"/>
                      <w:sz w:val="21"/>
                      <w:szCs w:val="21"/>
                      <w:vertAlign w:val="baseline"/>
                      <w:lang w:val="en-US" w:eastAsia="zh-CN" w:bidi="ar-SA"/>
                    </w:rPr>
                    <w:t>处置原则落实各类固体废物的收集、处置和综合利用措施。生活垃圾由环卫部门定期清运；废塑料、废包装属于一般固废，统一收集后外售处理。废机油、废机油桶、废活性炭属于危险废物，按照危险废物管理的相关规定妥善收集、储存，交由有资质的单位进行处理并做好转移台账记录，不得随意弃置。一般固体废物暂存应满足相应防渗漏、防雨淋、防扬尘等环境保护要求。危险废物按照《危险废物贮存污染控制标准》（GB18597-2023）相关规定进行储存，固废转移建立完善的记录台帐，危险废物严格执行《危险废物转移管理办法》。</w:t>
                  </w:r>
                </w:p>
              </w:tc>
              <w:tc>
                <w:tcPr>
                  <w:tcW w:w="976"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737"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3587"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合理规范布局，优先选用低噪声设备，对高噪声设备采取有效减振、消音、隔声等措施，确保运营期噪声满足《工业企业厂界环境噪声排放标准》（GB12348-2008）中的2类功能区标准要求。</w:t>
                  </w:r>
                </w:p>
              </w:tc>
              <w:tc>
                <w:tcPr>
                  <w:tcW w:w="35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outlineLvl w:val="9"/>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优先选用</w:t>
                  </w:r>
                  <w:r>
                    <w:rPr>
                      <w:rFonts w:hint="eastAsia" w:cs="Times New Roman"/>
                      <w:b w:val="0"/>
                      <w:bCs w:val="0"/>
                      <w:color w:val="auto"/>
                      <w:sz w:val="21"/>
                      <w:szCs w:val="21"/>
                      <w:vertAlign w:val="baseline"/>
                      <w:lang w:val="en-US" w:eastAsia="zh-CN"/>
                    </w:rPr>
                    <w:t>了</w:t>
                  </w:r>
                  <w:r>
                    <w:rPr>
                      <w:rFonts w:hint="eastAsia" w:ascii="Times New Roman" w:hAnsi="Times New Roman" w:cs="Times New Roman"/>
                      <w:b w:val="0"/>
                      <w:bCs w:val="0"/>
                      <w:color w:val="auto"/>
                      <w:sz w:val="21"/>
                      <w:szCs w:val="21"/>
                      <w:vertAlign w:val="baseline"/>
                      <w:lang w:val="en-US" w:eastAsia="zh-CN"/>
                    </w:rPr>
                    <w:t>低噪声设备，对高噪声设备采取</w:t>
                  </w:r>
                  <w:r>
                    <w:rPr>
                      <w:rFonts w:hint="eastAsia" w:cs="Times New Roman"/>
                      <w:b w:val="0"/>
                      <w:bCs w:val="0"/>
                      <w:color w:val="auto"/>
                      <w:sz w:val="21"/>
                      <w:szCs w:val="21"/>
                      <w:vertAlign w:val="baseline"/>
                      <w:lang w:val="en-US" w:eastAsia="zh-CN"/>
                    </w:rPr>
                    <w:t>了</w:t>
                  </w:r>
                  <w:r>
                    <w:rPr>
                      <w:rFonts w:hint="eastAsia" w:ascii="Times New Roman" w:hAnsi="Times New Roman" w:cs="Times New Roman"/>
                      <w:b w:val="0"/>
                      <w:bCs w:val="0"/>
                      <w:color w:val="auto"/>
                      <w:sz w:val="21"/>
                      <w:szCs w:val="21"/>
                      <w:vertAlign w:val="baseline"/>
                      <w:lang w:val="en-US" w:eastAsia="zh-CN"/>
                    </w:rPr>
                    <w:t>有效减振、消音、隔声等措施，通过距离衰减厂界噪声满足噪声满足《工业企业厂界环境噪声排放标准》（GB12348-2008）中的2类功能区标准要求。</w:t>
                  </w:r>
                </w:p>
              </w:tc>
              <w:tc>
                <w:tcPr>
                  <w:tcW w:w="976"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737"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c>
                <w:tcPr>
                  <w:tcW w:w="3587"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该项目建成后，该项目主要污染物排放量应控制在该项目确认的总量控制指标之内，并严格按照《排污许可管理条例》及《固定污染源排污许可分类管理名录》等相关要求，在项目验收之前取得排污许可证或者填报排污登记表，做好排污许可证的申请、变更工作。</w:t>
                  </w:r>
                </w:p>
              </w:tc>
              <w:tc>
                <w:tcPr>
                  <w:tcW w:w="3500"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项目已</w:t>
                  </w:r>
                  <w:r>
                    <w:rPr>
                      <w:rFonts w:hint="default" w:ascii="Times New Roman" w:hAnsi="Times New Roman" w:cs="Times New Roman"/>
                      <w:color w:val="auto"/>
                      <w:sz w:val="21"/>
                      <w:szCs w:val="21"/>
                      <w:vertAlign w:val="baseline"/>
                      <w:lang w:val="en-US" w:eastAsia="zh-CN"/>
                    </w:rPr>
                    <w:t>严格按照《排污许可管理办法（试行）》及《固定污染源排污许可分类管理名录》等相关要求，做好排污许可证的申请、变更工作。</w:t>
                  </w:r>
                </w:p>
              </w:tc>
              <w:tc>
                <w:tcPr>
                  <w:tcW w:w="976"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37"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w:t>
                  </w:r>
                </w:p>
              </w:tc>
              <w:tc>
                <w:tcPr>
                  <w:tcW w:w="3587"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各有组织排气筒须按规范要求设置永久性监测采样孔和采样平台。严格按照《淄博市污染源自动监控条例》等相关要求，凡符合安装要求的必须安装自动监控系统；排污单位应按照相关法律、法规和技术规范要求，建立健全管理制度以及运行台账，负责污染源自动监测设施的运行、维护、管理及故障维修，并接受相关部门监督管理。</w:t>
                  </w:r>
                </w:p>
              </w:tc>
              <w:tc>
                <w:tcPr>
                  <w:tcW w:w="3500"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各有组织排气筒已按规范要求设置永久性监测采样孔和采样平台。</w:t>
                  </w:r>
                </w:p>
              </w:tc>
              <w:tc>
                <w:tcPr>
                  <w:tcW w:w="976"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737"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w:t>
                  </w:r>
                </w:p>
              </w:tc>
              <w:tc>
                <w:tcPr>
                  <w:tcW w:w="3587"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加强环境风险防范措施。企业应对各风险源设置完善的预防措施和应急预案，落实应急防范与减缓措施，防止事故发生。根据环境风险评价、环境应急预案和厂区实际现状，建设相配套应急装备和监测仪器，在非事故状态下不得占用，并定期进行维修保养；加强环境风险管理，对风险评价实行动态管理，保证事故发生时立即进入应急状态，确保环境安全。定期开展环境风险应急培训和演练，切实加强事故应急处理和防范能力。</w:t>
                  </w:r>
                </w:p>
              </w:tc>
              <w:tc>
                <w:tcPr>
                  <w:tcW w:w="3500"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both"/>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厂区及本项目生产车间已配备相应的消防物资，做好环境风险防范，落实应急防范与减缓措施，防止事故发生；加强环境风险管理，对风险评价实行动态管理，保证事故发生时立即进入应急状态，确保环境安全。定期开展环境风险应急培训和演练，切实加强事故应急处理和防范能力。</w:t>
                  </w:r>
                </w:p>
              </w:tc>
              <w:tc>
                <w:tcPr>
                  <w:tcW w:w="976" w:type="dxa"/>
                  <w:tcBorders>
                    <w:tl2br w:val="nil"/>
                    <w:tr2bl w:val="nil"/>
                  </w:tcBorders>
                  <w:vAlign w:val="center"/>
                </w:tcPr>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已落实</w:t>
                  </w:r>
                </w:p>
              </w:tc>
            </w:tr>
          </w:tbl>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both"/>
              <w:textAlignment w:val="auto"/>
              <w:outlineLvl w:val="9"/>
              <w:rPr>
                <w:rFonts w:hint="default" w:ascii="Times New Roman" w:hAnsi="Times New Roman" w:cs="Times New Roman"/>
                <w:color w:val="0000FF"/>
                <w:lang w:val="en-US" w:eastAsia="zh-CN"/>
              </w:rPr>
            </w:pPr>
          </w:p>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both"/>
              <w:textAlignment w:val="auto"/>
              <w:outlineLvl w:val="9"/>
              <w:rPr>
                <w:rFonts w:hint="default" w:ascii="Times New Roman" w:hAnsi="Times New Roman" w:cs="Times New Roman"/>
                <w:color w:val="0000FF"/>
                <w:lang w:val="en-US" w:eastAsia="zh-CN"/>
              </w:rPr>
            </w:pPr>
          </w:p>
          <w:p>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both"/>
              <w:textAlignment w:val="auto"/>
              <w:outlineLvl w:val="9"/>
              <w:rPr>
                <w:rFonts w:hint="default" w:ascii="Times New Roman" w:hAnsi="Times New Roman" w:cs="Times New Roman"/>
                <w:color w:val="0000FF"/>
                <w:lang w:val="en-US" w:eastAsia="zh-CN"/>
              </w:rPr>
            </w:pPr>
          </w:p>
          <w:p>
            <w:pPr>
              <w:pStyle w:val="7"/>
              <w:spacing w:line="360" w:lineRule="auto"/>
              <w:jc w:val="both"/>
              <w:rPr>
                <w:rFonts w:hint="default" w:ascii="Times New Roman" w:hAnsi="Times New Roman" w:cs="Times New Roman"/>
                <w:color w:val="0000FF"/>
                <w:lang w:eastAsia="zh-CN"/>
              </w:rPr>
            </w:pPr>
          </w:p>
        </w:tc>
      </w:tr>
    </w:tbl>
    <w:p>
      <w:pPr>
        <w:spacing w:line="360" w:lineRule="auto"/>
        <w:rPr>
          <w:rFonts w:hint="default" w:ascii="Times New Roman" w:hAnsi="Times New Roman" w:cs="Times New Roman"/>
          <w:b/>
          <w:bCs/>
          <w:color w:val="0000FF"/>
          <w:sz w:val="24"/>
          <w:szCs w:val="24"/>
          <w:lang w:eastAsia="zh-CN"/>
        </w:rPr>
      </w:pPr>
      <w:r>
        <w:rPr>
          <w:rFonts w:hint="default" w:ascii="Times New Roman" w:hAnsi="Times New Roman" w:cs="Times New Roman"/>
          <w:b/>
          <w:bCs/>
          <w:color w:val="0000FF"/>
          <w:sz w:val="24"/>
          <w:szCs w:val="24"/>
          <w:lang w:eastAsia="zh-CN"/>
        </w:rPr>
        <w:br w:type="page"/>
      </w:r>
      <w:r>
        <w:rPr>
          <w:rFonts w:hint="default" w:ascii="Times New Roman" w:hAnsi="Times New Roman" w:cs="Times New Roman"/>
          <w:b/>
          <w:bCs/>
          <w:color w:val="auto"/>
          <w:sz w:val="24"/>
          <w:szCs w:val="24"/>
          <w:lang w:eastAsia="zh-CN"/>
        </w:rPr>
        <w:t>表六、验收执行标准</w:t>
      </w:r>
    </w:p>
    <w:tbl>
      <w:tblPr>
        <w:tblStyle w:val="19"/>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8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11" w:hRule="atLeast"/>
        </w:trPr>
        <w:tc>
          <w:tcPr>
            <w:tcW w:w="331" w:type="pct"/>
            <w:vAlign w:val="center"/>
          </w:tcPr>
          <w:p>
            <w:pPr>
              <w:spacing w:line="364" w:lineRule="exact"/>
              <w:jc w:val="center"/>
              <w:rPr>
                <w:rFonts w:hint="default" w:ascii="Times New Roman" w:hAnsi="Times New Roman" w:cs="Times New Roman"/>
                <w:b/>
                <w:bCs/>
                <w:color w:val="0000FF"/>
                <w:sz w:val="24"/>
                <w:szCs w:val="24"/>
                <w:lang w:eastAsia="zh-CN"/>
              </w:rPr>
            </w:pPr>
            <w:r>
              <w:rPr>
                <w:rFonts w:hint="default" w:ascii="Times New Roman" w:hAnsi="Times New Roman" w:cs="Times New Roman"/>
                <w:b/>
                <w:bCs/>
                <w:color w:val="auto"/>
                <w:sz w:val="24"/>
                <w:szCs w:val="24"/>
                <w:lang w:eastAsia="zh-CN"/>
              </w:rPr>
              <w:t>验收执行标准</w:t>
            </w:r>
          </w:p>
        </w:tc>
        <w:tc>
          <w:tcPr>
            <w:tcW w:w="4668" w:type="pct"/>
          </w:tcPr>
          <w:p>
            <w:pPr>
              <w:keepNext w:val="0"/>
              <w:keepLines w:val="0"/>
              <w:widowControl/>
              <w:numPr>
                <w:ilvl w:val="0"/>
                <w:numId w:val="0"/>
              </w:numPr>
              <w:suppressLineNumbers w:val="0"/>
              <w:spacing w:line="360" w:lineRule="auto"/>
              <w:jc w:val="left"/>
              <w:rPr>
                <w:rFonts w:hint="eastAsia" w:ascii="Times New Roman" w:hAnsi="Times New Roman" w:eastAsia="宋体" w:cs="Times New Roman"/>
                <w:b/>
                <w:bCs/>
                <w:color w:val="000000"/>
                <w:kern w:val="0"/>
                <w:sz w:val="24"/>
                <w:szCs w:val="24"/>
                <w:highlight w:val="none"/>
                <w:lang w:val="en-US" w:eastAsia="zh-CN"/>
              </w:rPr>
            </w:pPr>
            <w:r>
              <w:rPr>
                <w:rFonts w:hint="eastAsia" w:ascii="Times New Roman" w:hAnsi="Times New Roman" w:eastAsia="宋体" w:cs="Times New Roman"/>
                <w:b/>
                <w:bCs/>
                <w:color w:val="000000"/>
                <w:kern w:val="0"/>
                <w:sz w:val="24"/>
                <w:szCs w:val="24"/>
                <w:highlight w:val="none"/>
                <w:lang w:val="en-US" w:eastAsia="zh-CN"/>
              </w:rPr>
              <w:t xml:space="preserve">1、废气 </w:t>
            </w:r>
          </w:p>
          <w:p>
            <w:pPr>
              <w:pStyle w:val="30"/>
              <w:ind w:left="0" w:leftChars="0" w:firstLine="480" w:firstLineChars="200"/>
              <w:jc w:val="both"/>
              <w:rPr>
                <w:rFonts w:hint="eastAsia" w:ascii="Times New Roman" w:hAnsi="Times New Roman" w:eastAsia="宋体"/>
                <w:bCs/>
                <w:snapToGrid/>
                <w:color w:val="auto"/>
                <w:kern w:val="0"/>
                <w:sz w:val="24"/>
                <w:szCs w:val="24"/>
                <w:highlight w:val="none"/>
                <w:lang w:eastAsia="zh-CN"/>
              </w:rPr>
            </w:pPr>
            <w:r>
              <w:rPr>
                <w:rFonts w:hint="eastAsia" w:ascii="Times New Roman" w:hAnsi="Times New Roman"/>
                <w:color w:val="auto"/>
                <w:kern w:val="0"/>
                <w:sz w:val="24"/>
                <w:szCs w:val="24"/>
                <w:highlight w:val="none"/>
                <w:lang w:val="en-US" w:eastAsia="zh-CN"/>
              </w:rPr>
              <w:t>运营期有组织</w:t>
            </w:r>
            <w:r>
              <w:rPr>
                <w:rFonts w:ascii="Times New Roman" w:hAnsi="Times New Roman"/>
                <w:color w:val="auto"/>
                <w:kern w:val="0"/>
                <w:sz w:val="24"/>
                <w:szCs w:val="24"/>
                <w:highlight w:val="none"/>
              </w:rPr>
              <w:t>VOCs执行</w:t>
            </w:r>
            <w:r>
              <w:rPr>
                <w:rFonts w:hint="eastAsia" w:ascii="Times New Roman" w:hAnsi="Times New Roman"/>
                <w:color w:val="auto"/>
                <w:kern w:val="0"/>
                <w:sz w:val="24"/>
                <w:szCs w:val="24"/>
                <w:highlight w:val="none"/>
                <w:lang w:val="en-US" w:eastAsia="zh-CN"/>
              </w:rPr>
              <w:t xml:space="preserve"> </w:t>
            </w:r>
            <w:r>
              <w:rPr>
                <w:rFonts w:ascii="Times New Roman" w:hAnsi="Times New Roman"/>
                <w:color w:val="auto"/>
                <w:kern w:val="0"/>
                <w:sz w:val="24"/>
                <w:szCs w:val="24"/>
                <w:highlight w:val="none"/>
              </w:rPr>
              <w:t>《山东省挥发性有机物排放标准第</w:t>
            </w:r>
            <w:r>
              <w:rPr>
                <w:rFonts w:hint="eastAsia" w:ascii="Times New Roman" w:hAnsi="Times New Roman"/>
                <w:color w:val="auto"/>
                <w:kern w:val="0"/>
                <w:sz w:val="24"/>
                <w:szCs w:val="24"/>
                <w:highlight w:val="none"/>
                <w:lang w:val="en-US" w:eastAsia="zh-CN"/>
              </w:rPr>
              <w:t>6</w:t>
            </w:r>
            <w:r>
              <w:rPr>
                <w:rFonts w:ascii="Times New Roman" w:hAnsi="Times New Roman"/>
                <w:color w:val="auto"/>
                <w:kern w:val="0"/>
                <w:sz w:val="24"/>
                <w:szCs w:val="24"/>
                <w:highlight w:val="none"/>
              </w:rPr>
              <w:t>部分：</w:t>
            </w:r>
            <w:r>
              <w:rPr>
                <w:rFonts w:hint="eastAsia" w:ascii="Times New Roman" w:hAnsi="Times New Roman"/>
                <w:color w:val="auto"/>
                <w:kern w:val="0"/>
                <w:sz w:val="24"/>
                <w:szCs w:val="24"/>
                <w:highlight w:val="none"/>
                <w:lang w:val="en-US" w:eastAsia="zh-CN"/>
              </w:rPr>
              <w:t>有机化工行业</w:t>
            </w:r>
            <w:r>
              <w:rPr>
                <w:rFonts w:ascii="Times New Roman" w:hAnsi="Times New Roman"/>
                <w:color w:val="auto"/>
                <w:kern w:val="0"/>
                <w:sz w:val="24"/>
                <w:szCs w:val="24"/>
                <w:highlight w:val="none"/>
              </w:rPr>
              <w:t>》</w:t>
            </w:r>
            <w:r>
              <w:rPr>
                <w:rFonts w:hint="eastAsia" w:ascii="Times New Roman" w:hAnsi="Times New Roman"/>
                <w:color w:val="auto"/>
                <w:kern w:val="0"/>
                <w:sz w:val="24"/>
                <w:szCs w:val="24"/>
                <w:highlight w:val="none"/>
                <w:lang w:val="en-US" w:eastAsia="zh-CN"/>
              </w:rPr>
              <w:t>（</w:t>
            </w:r>
            <w:r>
              <w:rPr>
                <w:rFonts w:hint="eastAsia" w:ascii="Times New Roman" w:hAnsi="Times New Roman"/>
                <w:color w:val="auto"/>
                <w:kern w:val="0"/>
                <w:sz w:val="24"/>
                <w:szCs w:val="24"/>
                <w:highlight w:val="none"/>
              </w:rPr>
              <w:t>DB 37/ 2801.6</w:t>
            </w:r>
            <w:r>
              <w:rPr>
                <w:rFonts w:hint="eastAsia" w:ascii="Times New Roman" w:hAnsi="Times New Roman"/>
                <w:color w:val="auto"/>
                <w:kern w:val="0"/>
                <w:sz w:val="24"/>
                <w:szCs w:val="24"/>
                <w:highlight w:val="none"/>
                <w:lang w:val="en-US" w:eastAsia="zh-CN"/>
              </w:rPr>
              <w:t>-</w:t>
            </w:r>
            <w:r>
              <w:rPr>
                <w:rFonts w:hint="eastAsia" w:ascii="Times New Roman" w:hAnsi="Times New Roman"/>
                <w:color w:val="auto"/>
                <w:kern w:val="0"/>
                <w:sz w:val="24"/>
                <w:szCs w:val="24"/>
                <w:highlight w:val="none"/>
              </w:rPr>
              <w:t>2018</w:t>
            </w:r>
            <w:r>
              <w:rPr>
                <w:rFonts w:ascii="Times New Roman" w:hAnsi="Times New Roman"/>
                <w:color w:val="auto"/>
                <w:kern w:val="0"/>
                <w:sz w:val="24"/>
                <w:szCs w:val="24"/>
                <w:highlight w:val="none"/>
              </w:rPr>
              <w:t>）中表1</w:t>
            </w:r>
            <w:r>
              <w:rPr>
                <w:rFonts w:hint="eastAsia" w:ascii="Times New Roman" w:hAnsi="Times New Roman"/>
                <w:color w:val="auto"/>
                <w:kern w:val="0"/>
                <w:sz w:val="24"/>
                <w:szCs w:val="24"/>
                <w:highlight w:val="none"/>
              </w:rPr>
              <w:t>其他行业（除上述行业外的有机化工行业）</w:t>
            </w:r>
            <w:r>
              <w:rPr>
                <w:rFonts w:ascii="Times New Roman" w:hAnsi="Times New Roman"/>
                <w:color w:val="auto"/>
                <w:kern w:val="0"/>
                <w:sz w:val="24"/>
                <w:szCs w:val="24"/>
                <w:highlight w:val="none"/>
              </w:rPr>
              <w:t>Ⅱ</w:t>
            </w:r>
            <w:r>
              <w:rPr>
                <w:rFonts w:hint="eastAsia" w:ascii="Times New Roman" w:hAnsi="Times New Roman"/>
                <w:color w:val="auto"/>
                <w:kern w:val="0"/>
                <w:sz w:val="24"/>
                <w:szCs w:val="24"/>
                <w:highlight w:val="none"/>
                <w:lang w:val="en-US" w:eastAsia="zh-CN"/>
              </w:rPr>
              <w:t xml:space="preserve"> </w:t>
            </w:r>
            <w:r>
              <w:rPr>
                <w:rFonts w:ascii="Times New Roman" w:hAnsi="Times New Roman"/>
                <w:color w:val="auto"/>
                <w:kern w:val="0"/>
                <w:sz w:val="24"/>
                <w:szCs w:val="24"/>
                <w:highlight w:val="none"/>
              </w:rPr>
              <w:t>时段的排放限值</w:t>
            </w:r>
            <w:r>
              <w:rPr>
                <w:rFonts w:hint="eastAsia" w:ascii="Times New Roman" w:hAnsi="Times New Roman"/>
                <w:color w:val="auto"/>
                <w:kern w:val="0"/>
                <w:sz w:val="24"/>
                <w:szCs w:val="24"/>
                <w:highlight w:val="none"/>
                <w:lang w:eastAsia="zh-CN"/>
              </w:rPr>
              <w:t>；</w:t>
            </w:r>
            <w:r>
              <w:rPr>
                <w:rFonts w:hint="eastAsia" w:ascii="Times New Roman" w:hAnsi="Times New Roman"/>
                <w:color w:val="auto"/>
                <w:kern w:val="0"/>
                <w:sz w:val="24"/>
                <w:szCs w:val="24"/>
                <w:highlight w:val="none"/>
              </w:rPr>
              <w:t>厂界</w:t>
            </w:r>
            <w:r>
              <w:rPr>
                <w:rFonts w:hint="eastAsia" w:ascii="Times New Roman" w:hAnsi="Times New Roman"/>
                <w:color w:val="auto"/>
                <w:kern w:val="0"/>
                <w:sz w:val="24"/>
                <w:szCs w:val="24"/>
                <w:highlight w:val="none"/>
                <w:lang w:val="en-US" w:eastAsia="zh-CN"/>
              </w:rPr>
              <w:t>无组织</w:t>
            </w:r>
            <w:r>
              <w:rPr>
                <w:rFonts w:ascii="Times New Roman" w:hAnsi="Times New Roman"/>
                <w:color w:val="auto"/>
                <w:kern w:val="0"/>
                <w:sz w:val="24"/>
                <w:szCs w:val="24"/>
                <w:highlight w:val="none"/>
              </w:rPr>
              <w:t>VOCs执行《山东省挥发性有机物排放标准第</w:t>
            </w:r>
            <w:r>
              <w:rPr>
                <w:rFonts w:hint="eastAsia" w:ascii="Times New Roman" w:hAnsi="Times New Roman"/>
                <w:color w:val="auto"/>
                <w:kern w:val="0"/>
                <w:sz w:val="24"/>
                <w:szCs w:val="24"/>
                <w:highlight w:val="none"/>
                <w:lang w:val="en-US" w:eastAsia="zh-CN"/>
              </w:rPr>
              <w:t>6</w:t>
            </w:r>
            <w:r>
              <w:rPr>
                <w:rFonts w:ascii="Times New Roman" w:hAnsi="Times New Roman"/>
                <w:color w:val="auto"/>
                <w:kern w:val="0"/>
                <w:sz w:val="24"/>
                <w:szCs w:val="24"/>
                <w:highlight w:val="none"/>
              </w:rPr>
              <w:t>部分：</w:t>
            </w:r>
            <w:r>
              <w:rPr>
                <w:rFonts w:hint="eastAsia" w:ascii="Times New Roman" w:hAnsi="Times New Roman"/>
                <w:color w:val="auto"/>
                <w:kern w:val="0"/>
                <w:sz w:val="24"/>
                <w:szCs w:val="24"/>
                <w:highlight w:val="none"/>
                <w:lang w:val="en-US" w:eastAsia="zh-CN"/>
              </w:rPr>
              <w:t>有机化工行业</w:t>
            </w:r>
            <w:r>
              <w:rPr>
                <w:rFonts w:ascii="Times New Roman" w:hAnsi="Times New Roman"/>
                <w:color w:val="auto"/>
                <w:kern w:val="0"/>
                <w:sz w:val="24"/>
                <w:szCs w:val="24"/>
                <w:highlight w:val="none"/>
              </w:rPr>
              <w:t>》</w:t>
            </w:r>
            <w:r>
              <w:rPr>
                <w:rFonts w:hint="eastAsia" w:ascii="Times New Roman" w:hAnsi="Times New Roman"/>
                <w:color w:val="auto"/>
                <w:kern w:val="0"/>
                <w:sz w:val="24"/>
                <w:szCs w:val="24"/>
                <w:highlight w:val="none"/>
                <w:lang w:val="en-US" w:eastAsia="zh-CN"/>
              </w:rPr>
              <w:t>（</w:t>
            </w:r>
            <w:r>
              <w:rPr>
                <w:rFonts w:hint="eastAsia" w:ascii="Times New Roman" w:hAnsi="Times New Roman"/>
                <w:color w:val="auto"/>
                <w:kern w:val="0"/>
                <w:sz w:val="24"/>
                <w:szCs w:val="24"/>
                <w:highlight w:val="none"/>
              </w:rPr>
              <w:t>DB 37/ 2801.6</w:t>
            </w:r>
            <w:r>
              <w:rPr>
                <w:rFonts w:hint="eastAsia" w:ascii="Times New Roman" w:hAnsi="Times New Roman"/>
                <w:color w:val="auto"/>
                <w:kern w:val="0"/>
                <w:sz w:val="24"/>
                <w:szCs w:val="24"/>
                <w:highlight w:val="none"/>
                <w:lang w:val="en-US" w:eastAsia="zh-CN"/>
              </w:rPr>
              <w:t>-</w:t>
            </w:r>
            <w:r>
              <w:rPr>
                <w:rFonts w:hint="eastAsia" w:ascii="Times New Roman" w:hAnsi="Times New Roman"/>
                <w:color w:val="auto"/>
                <w:kern w:val="0"/>
                <w:sz w:val="24"/>
                <w:szCs w:val="24"/>
                <w:highlight w:val="none"/>
              </w:rPr>
              <w:t>2018</w:t>
            </w:r>
            <w:r>
              <w:rPr>
                <w:rFonts w:ascii="Times New Roman" w:hAnsi="Times New Roman"/>
                <w:color w:val="auto"/>
                <w:kern w:val="0"/>
                <w:sz w:val="24"/>
                <w:szCs w:val="24"/>
                <w:highlight w:val="none"/>
              </w:rPr>
              <w:t>）中表</w:t>
            </w:r>
            <w:r>
              <w:rPr>
                <w:rFonts w:hint="eastAsia" w:ascii="Times New Roman" w:hAnsi="Times New Roman"/>
                <w:color w:val="auto"/>
                <w:kern w:val="0"/>
                <w:sz w:val="24"/>
                <w:szCs w:val="24"/>
                <w:highlight w:val="none"/>
                <w:lang w:val="en-US" w:eastAsia="zh-CN"/>
              </w:rPr>
              <w:t>3</w:t>
            </w:r>
            <w:r>
              <w:rPr>
                <w:rFonts w:ascii="Times New Roman" w:hAnsi="Times New Roman"/>
                <w:color w:val="auto"/>
                <w:kern w:val="0"/>
                <w:sz w:val="24"/>
                <w:szCs w:val="24"/>
                <w:highlight w:val="none"/>
              </w:rPr>
              <w:t>厂界监控点浓度限值</w:t>
            </w:r>
            <w:r>
              <w:rPr>
                <w:rFonts w:hint="eastAsia" w:ascii="Times New Roman" w:hAnsi="Times New Roman"/>
                <w:color w:val="auto"/>
                <w:kern w:val="0"/>
                <w:sz w:val="24"/>
                <w:szCs w:val="24"/>
                <w:highlight w:val="none"/>
                <w:lang w:eastAsia="zh-CN"/>
              </w:rPr>
              <w:t>，</w:t>
            </w:r>
            <w:r>
              <w:rPr>
                <w:rFonts w:hint="eastAsia" w:ascii="Times New Roman" w:hAnsi="Times New Roman"/>
                <w:bCs/>
                <w:snapToGrid/>
                <w:color w:val="auto"/>
                <w:kern w:val="0"/>
                <w:sz w:val="24"/>
                <w:szCs w:val="24"/>
                <w:highlight w:val="none"/>
              </w:rPr>
              <w:t>厂区内</w:t>
            </w:r>
            <w:r>
              <w:rPr>
                <w:rFonts w:hint="eastAsia" w:ascii="Times New Roman" w:hAnsi="Times New Roman"/>
                <w:bCs/>
                <w:snapToGrid/>
                <w:color w:val="auto"/>
                <w:kern w:val="0"/>
                <w:sz w:val="24"/>
                <w:szCs w:val="24"/>
                <w:highlight w:val="none"/>
                <w:lang w:val="en-US" w:eastAsia="zh-CN"/>
              </w:rPr>
              <w:t>无组织VOCs</w:t>
            </w:r>
            <w:r>
              <w:rPr>
                <w:rFonts w:hint="eastAsia" w:ascii="Times New Roman" w:hAnsi="Times New Roman"/>
                <w:bCs/>
                <w:snapToGrid/>
                <w:color w:val="auto"/>
                <w:kern w:val="0"/>
                <w:sz w:val="24"/>
                <w:szCs w:val="24"/>
                <w:highlight w:val="none"/>
              </w:rPr>
              <w:t>排放执行《挥发性有机物无组织排放控制标准》（G</w:t>
            </w:r>
            <w:r>
              <w:rPr>
                <w:rFonts w:ascii="Times New Roman" w:hAnsi="Times New Roman"/>
                <w:bCs/>
                <w:snapToGrid/>
                <w:color w:val="auto"/>
                <w:kern w:val="0"/>
                <w:sz w:val="24"/>
                <w:szCs w:val="24"/>
                <w:highlight w:val="none"/>
              </w:rPr>
              <w:t>B37822-2019</w:t>
            </w:r>
            <w:r>
              <w:rPr>
                <w:rFonts w:hint="eastAsia" w:ascii="Times New Roman" w:hAnsi="Times New Roman"/>
                <w:bCs/>
                <w:snapToGrid/>
                <w:color w:val="auto"/>
                <w:kern w:val="0"/>
                <w:sz w:val="24"/>
                <w:szCs w:val="24"/>
                <w:highlight w:val="none"/>
              </w:rPr>
              <w:t>）附录A表A</w:t>
            </w:r>
            <w:r>
              <w:rPr>
                <w:rFonts w:ascii="Times New Roman" w:hAnsi="Times New Roman"/>
                <w:bCs/>
                <w:snapToGrid/>
                <w:color w:val="auto"/>
                <w:kern w:val="0"/>
                <w:sz w:val="24"/>
                <w:szCs w:val="24"/>
                <w:highlight w:val="none"/>
              </w:rPr>
              <w:t>.1</w:t>
            </w:r>
            <w:r>
              <w:rPr>
                <w:rFonts w:hint="eastAsia" w:ascii="Times New Roman" w:hAnsi="Times New Roman"/>
                <w:bCs/>
                <w:snapToGrid/>
                <w:color w:val="auto"/>
                <w:kern w:val="0"/>
                <w:sz w:val="24"/>
                <w:szCs w:val="24"/>
                <w:highlight w:val="none"/>
              </w:rPr>
              <w:t>标准限值</w:t>
            </w:r>
            <w:r>
              <w:rPr>
                <w:rFonts w:hint="eastAsia" w:ascii="Times New Roman" w:hAnsi="Times New Roman"/>
                <w:bCs/>
                <w:snapToGrid/>
                <w:color w:val="auto"/>
                <w:kern w:val="0"/>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b/>
                <w:bCs/>
                <w:color w:val="auto"/>
                <w:spacing w:val="-6"/>
                <w:sz w:val="21"/>
                <w:szCs w:val="21"/>
                <w:highlight w:val="none"/>
              </w:rPr>
            </w:pPr>
            <w:r>
              <w:rPr>
                <w:b/>
                <w:bCs/>
                <w:color w:val="auto"/>
                <w:spacing w:val="-6"/>
                <w:sz w:val="24"/>
                <w:szCs w:val="24"/>
                <w:highlight w:val="none"/>
              </w:rPr>
              <w:t>表</w:t>
            </w:r>
            <w:r>
              <w:rPr>
                <w:rFonts w:hint="eastAsia"/>
                <w:b/>
                <w:bCs/>
                <w:color w:val="auto"/>
                <w:spacing w:val="-6"/>
                <w:sz w:val="24"/>
                <w:szCs w:val="24"/>
                <w:highlight w:val="none"/>
                <w:lang w:val="en-US" w:eastAsia="zh-CN"/>
              </w:rPr>
              <w:t>6-1</w:t>
            </w:r>
            <w:r>
              <w:rPr>
                <w:b/>
                <w:bCs/>
                <w:color w:val="auto"/>
                <w:spacing w:val="-6"/>
                <w:sz w:val="24"/>
                <w:szCs w:val="24"/>
                <w:highlight w:val="none"/>
              </w:rPr>
              <w:t xml:space="preserve">  </w:t>
            </w:r>
            <w:r>
              <w:rPr>
                <w:rFonts w:hint="eastAsia"/>
                <w:b/>
                <w:bCs/>
                <w:color w:val="auto"/>
                <w:spacing w:val="-6"/>
                <w:sz w:val="24"/>
                <w:szCs w:val="24"/>
                <w:highlight w:val="none"/>
                <w:lang w:val="en-US" w:eastAsia="zh-CN"/>
              </w:rPr>
              <w:t>大气污染物</w:t>
            </w:r>
            <w:r>
              <w:rPr>
                <w:b/>
                <w:bCs/>
                <w:color w:val="auto"/>
                <w:spacing w:val="-6"/>
                <w:sz w:val="24"/>
                <w:szCs w:val="24"/>
                <w:highlight w:val="none"/>
              </w:rPr>
              <w:t>排放标准</w:t>
            </w:r>
          </w:p>
          <w:tbl>
            <w:tblPr>
              <w:tblStyle w:val="19"/>
              <w:tblW w:w="485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1858"/>
              <w:gridCol w:w="1647"/>
              <w:gridCol w:w="31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pct"/>
                  <w:tcBorders>
                    <w:tl2br w:val="nil"/>
                    <w:tr2bl w:val="nil"/>
                  </w:tcBorders>
                  <w:vAlign w:val="center"/>
                </w:tcPr>
                <w:p>
                  <w:pPr>
                    <w:spacing w:line="240" w:lineRule="auto"/>
                    <w:jc w:val="center"/>
                    <w:rPr>
                      <w:rFonts w:hint="default" w:ascii="Times New Roman" w:hAnsi="Times New Roman" w:eastAsia="宋体" w:cs="Times New Roman"/>
                      <w:b/>
                      <w:bCs/>
                      <w:color w:val="auto"/>
                      <w:sz w:val="21"/>
                      <w:szCs w:val="21"/>
                      <w:highlight w:val="none"/>
                      <w:lang w:val="en-US"/>
                    </w:rPr>
                  </w:pPr>
                  <w:r>
                    <w:rPr>
                      <w:rFonts w:hint="eastAsia" w:ascii="Times New Roman" w:hAnsi="Times New Roman" w:eastAsia="宋体" w:cs="Times New Roman"/>
                      <w:b/>
                      <w:bCs/>
                      <w:color w:val="auto"/>
                      <w:sz w:val="21"/>
                      <w:szCs w:val="21"/>
                      <w:highlight w:val="none"/>
                      <w:lang w:val="en-US" w:eastAsia="zh-CN"/>
                    </w:rPr>
                    <w:t>污染物名称</w:t>
                  </w:r>
                </w:p>
              </w:tc>
              <w:tc>
                <w:tcPr>
                  <w:tcW w:w="2154" w:type="pct"/>
                  <w:gridSpan w:val="2"/>
                  <w:tcBorders>
                    <w:tl2br w:val="nil"/>
                    <w:tr2bl w:val="nil"/>
                  </w:tcBorders>
                  <w:vAlign w:val="center"/>
                </w:tcPr>
                <w:p>
                  <w:pPr>
                    <w:spacing w:line="240" w:lineRule="auto"/>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标准值</w:t>
                  </w:r>
                </w:p>
              </w:tc>
              <w:tc>
                <w:tcPr>
                  <w:tcW w:w="1939" w:type="pct"/>
                  <w:tcBorders>
                    <w:tl2br w:val="nil"/>
                    <w:tr2bl w:val="nil"/>
                  </w:tcBorders>
                  <w:vAlign w:val="center"/>
                </w:tcPr>
                <w:p>
                  <w:pPr>
                    <w:spacing w:line="240" w:lineRule="auto"/>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pct"/>
                  <w:vMerge w:val="restart"/>
                  <w:tcBorders>
                    <w:tl2br w:val="nil"/>
                    <w:tr2bl w:val="nil"/>
                  </w:tcBorders>
                  <w:vAlign w:val="center"/>
                </w:tcPr>
                <w:p>
                  <w:pPr>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VOCs</w:t>
                  </w:r>
                </w:p>
              </w:tc>
              <w:tc>
                <w:tcPr>
                  <w:tcW w:w="1142" w:type="pct"/>
                  <w:tcBorders>
                    <w:tl2br w:val="nil"/>
                    <w:tr2bl w:val="nil"/>
                  </w:tcBorders>
                  <w:vAlign w:val="center"/>
                </w:tcPr>
                <w:p>
                  <w:pPr>
                    <w:spacing w:line="240" w:lineRule="auto"/>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color w:val="auto"/>
                      <w:sz w:val="21"/>
                      <w:szCs w:val="21"/>
                      <w:highlight w:val="none"/>
                    </w:rPr>
                    <w:t>排放浓度</w:t>
                  </w:r>
                </w:p>
              </w:tc>
              <w:tc>
                <w:tcPr>
                  <w:tcW w:w="1012" w:type="pct"/>
                  <w:tcBorders>
                    <w:tl2br w:val="nil"/>
                    <w:tr2bl w:val="nil"/>
                  </w:tcBorders>
                  <w:vAlign w:val="center"/>
                </w:tcPr>
                <w:p>
                  <w:pPr>
                    <w:spacing w:line="240" w:lineRule="auto"/>
                    <w:jc w:val="center"/>
                    <w:rPr>
                      <w:rFonts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60</w:t>
                  </w:r>
                  <w:r>
                    <w:rPr>
                      <w:rFonts w:ascii="Times New Roman" w:hAnsi="Times New Roman" w:eastAsia="宋体" w:cs="Times New Roman"/>
                      <w:color w:val="auto"/>
                      <w:sz w:val="21"/>
                      <w:szCs w:val="21"/>
                      <w:highlight w:val="none"/>
                    </w:rPr>
                    <w:t>mg/m³</w:t>
                  </w:r>
                </w:p>
              </w:tc>
              <w:tc>
                <w:tcPr>
                  <w:tcW w:w="1939" w:type="pct"/>
                  <w:vMerge w:val="restart"/>
                  <w:tcBorders>
                    <w:tl2br w:val="nil"/>
                    <w:tr2bl w:val="nil"/>
                  </w:tcBorders>
                  <w:vAlign w:val="center"/>
                </w:tcPr>
                <w:p>
                  <w:pPr>
                    <w:spacing w:line="240" w:lineRule="auto"/>
                    <w:jc w:val="center"/>
                    <w:rPr>
                      <w:rFonts w:ascii="Times New Roman" w:hAnsi="Times New Roman" w:eastAsia="宋体" w:cs="Times New Roman"/>
                      <w:color w:val="auto"/>
                      <w:kern w:val="18"/>
                      <w:sz w:val="21"/>
                      <w:szCs w:val="21"/>
                      <w:highlight w:val="none"/>
                    </w:rPr>
                  </w:pPr>
                  <w:r>
                    <w:rPr>
                      <w:rFonts w:ascii="Times New Roman" w:hAnsi="Times New Roman" w:eastAsia="宋体" w:cs="Times New Roman"/>
                      <w:color w:val="auto"/>
                      <w:sz w:val="21"/>
                      <w:szCs w:val="21"/>
                      <w:highlight w:val="none"/>
                    </w:rPr>
                    <w:t>《山东省挥发性有机物排放标准第</w:t>
                  </w:r>
                  <w:r>
                    <w:rPr>
                      <w:rFonts w:hint="eastAsia" w:ascii="Times New Roman" w:hAnsi="Times New Roman" w:eastAsia="宋体" w:cs="Times New Roman"/>
                      <w:color w:val="auto"/>
                      <w:sz w:val="21"/>
                      <w:szCs w:val="21"/>
                      <w:highlight w:val="none"/>
                      <w:lang w:val="en-US" w:eastAsia="zh-CN"/>
                    </w:rPr>
                    <w:t>6</w:t>
                  </w:r>
                  <w:r>
                    <w:rPr>
                      <w:rFonts w:ascii="Times New Roman" w:hAnsi="Times New Roman" w:eastAsia="宋体" w:cs="Times New Roman"/>
                      <w:color w:val="auto"/>
                      <w:sz w:val="21"/>
                      <w:szCs w:val="21"/>
                      <w:highlight w:val="none"/>
                    </w:rPr>
                    <w:t>部分：</w:t>
                  </w:r>
                  <w:r>
                    <w:rPr>
                      <w:rFonts w:hint="eastAsia" w:ascii="Times New Roman" w:hAnsi="Times New Roman" w:eastAsia="宋体" w:cs="Times New Roman"/>
                      <w:color w:val="auto"/>
                      <w:sz w:val="21"/>
                      <w:szCs w:val="21"/>
                      <w:highlight w:val="none"/>
                      <w:lang w:val="en-US" w:eastAsia="zh-CN"/>
                    </w:rPr>
                    <w:t>有机化工行业</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rPr>
                    <w:t>DB 37/ 2801.6</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rPr>
                    <w:t>2018</w:t>
                  </w:r>
                  <w:r>
                    <w:rPr>
                      <w:rFonts w:ascii="Times New Roman" w:hAnsi="Times New Roman" w:eastAsia="宋体"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pct"/>
                  <w:vMerge w:val="continue"/>
                  <w:tcBorders>
                    <w:tl2br w:val="nil"/>
                    <w:tr2bl w:val="nil"/>
                  </w:tcBorders>
                  <w:vAlign w:val="center"/>
                </w:tcPr>
                <w:p>
                  <w:pPr>
                    <w:spacing w:line="240" w:lineRule="auto"/>
                    <w:jc w:val="center"/>
                    <w:rPr>
                      <w:rFonts w:ascii="Times New Roman" w:hAnsi="Times New Roman" w:eastAsia="宋体" w:cs="Times New Roman"/>
                      <w:color w:val="auto"/>
                      <w:sz w:val="21"/>
                      <w:szCs w:val="21"/>
                      <w:highlight w:val="none"/>
                    </w:rPr>
                  </w:pPr>
                </w:p>
              </w:tc>
              <w:tc>
                <w:tcPr>
                  <w:tcW w:w="1142" w:type="pct"/>
                  <w:tcBorders>
                    <w:tl2br w:val="nil"/>
                    <w:tr2bl w:val="nil"/>
                  </w:tcBorders>
                  <w:vAlign w:val="center"/>
                </w:tcPr>
                <w:p>
                  <w:pPr>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排放速率</w:t>
                  </w:r>
                </w:p>
              </w:tc>
              <w:tc>
                <w:tcPr>
                  <w:tcW w:w="1012" w:type="pct"/>
                  <w:tcBorders>
                    <w:tl2br w:val="nil"/>
                    <w:tr2bl w:val="nil"/>
                  </w:tcBorders>
                  <w:vAlign w:val="center"/>
                </w:tcPr>
                <w:p>
                  <w:pPr>
                    <w:spacing w:line="240" w:lineRule="auto"/>
                    <w:jc w:val="center"/>
                    <w:rPr>
                      <w:rFonts w:ascii="Times New Roman" w:hAnsi="Times New Roman" w:eastAsia="宋体" w:cs="Times New Roman"/>
                      <w:bCs/>
                      <w:color w:val="auto"/>
                      <w:sz w:val="21"/>
                      <w:szCs w:val="21"/>
                      <w:highlight w:val="none"/>
                    </w:rPr>
                  </w:pPr>
                  <w:r>
                    <w:rPr>
                      <w:rFonts w:ascii="Times New Roman" w:hAnsi="Times New Roman" w:eastAsia="宋体" w:cs="Times New Roman"/>
                      <w:bCs/>
                      <w:color w:val="auto"/>
                      <w:sz w:val="21"/>
                      <w:szCs w:val="21"/>
                      <w:highlight w:val="none"/>
                    </w:rPr>
                    <w:t>3</w:t>
                  </w:r>
                  <w:r>
                    <w:rPr>
                      <w:rFonts w:hint="eastAsia" w:ascii="Times New Roman" w:hAnsi="Times New Roman" w:eastAsia="宋体" w:cs="Times New Roman"/>
                      <w:bCs/>
                      <w:color w:val="auto"/>
                      <w:sz w:val="21"/>
                      <w:szCs w:val="21"/>
                      <w:highlight w:val="none"/>
                      <w:lang w:val="en-US" w:eastAsia="zh-CN"/>
                    </w:rPr>
                    <w:t>.0</w:t>
                  </w:r>
                  <w:r>
                    <w:rPr>
                      <w:rFonts w:ascii="Times New Roman" w:hAnsi="Times New Roman" w:eastAsia="宋体" w:cs="Times New Roman"/>
                      <w:color w:val="auto"/>
                      <w:sz w:val="21"/>
                      <w:szCs w:val="21"/>
                      <w:highlight w:val="none"/>
                    </w:rPr>
                    <w:t>kg/h</w:t>
                  </w:r>
                </w:p>
              </w:tc>
              <w:tc>
                <w:tcPr>
                  <w:tcW w:w="1939" w:type="pct"/>
                  <w:vMerge w:val="continue"/>
                  <w:tcBorders>
                    <w:tl2br w:val="nil"/>
                    <w:tr2bl w:val="nil"/>
                  </w:tcBorders>
                  <w:vAlign w:val="center"/>
                </w:tcPr>
                <w:p>
                  <w:pPr>
                    <w:spacing w:line="240" w:lineRule="auto"/>
                    <w:jc w:val="center"/>
                    <w:rPr>
                      <w:rFonts w:ascii="Times New Roman" w:hAnsi="Times New Roman" w:eastAsia="宋体" w:cs="Times New Roman"/>
                      <w:color w:val="auto"/>
                      <w:kern w:val="18"/>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pct"/>
                  <w:vMerge w:val="continue"/>
                  <w:tcBorders>
                    <w:tl2br w:val="nil"/>
                    <w:tr2bl w:val="nil"/>
                  </w:tcBorders>
                  <w:vAlign w:val="center"/>
                </w:tcPr>
                <w:p>
                  <w:pPr>
                    <w:spacing w:line="240" w:lineRule="auto"/>
                    <w:jc w:val="center"/>
                    <w:rPr>
                      <w:rFonts w:ascii="Times New Roman" w:hAnsi="Times New Roman" w:eastAsia="宋体" w:cs="Times New Roman"/>
                      <w:color w:val="auto"/>
                      <w:sz w:val="21"/>
                      <w:szCs w:val="21"/>
                      <w:highlight w:val="none"/>
                    </w:rPr>
                  </w:pPr>
                </w:p>
              </w:tc>
              <w:tc>
                <w:tcPr>
                  <w:tcW w:w="1142" w:type="pct"/>
                  <w:tcBorders>
                    <w:tl2br w:val="nil"/>
                    <w:tr2bl w:val="nil"/>
                  </w:tcBorders>
                  <w:vAlign w:val="center"/>
                </w:tcPr>
                <w:p>
                  <w:pPr>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厂界无组织</w:t>
                  </w:r>
                </w:p>
                <w:p>
                  <w:pPr>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排放浓度限值</w:t>
                  </w:r>
                </w:p>
              </w:tc>
              <w:tc>
                <w:tcPr>
                  <w:tcW w:w="1012" w:type="pct"/>
                  <w:tcBorders>
                    <w:tl2br w:val="nil"/>
                    <w:tr2bl w:val="nil"/>
                  </w:tcBorders>
                  <w:vAlign w:val="center"/>
                </w:tcPr>
                <w:p>
                  <w:pPr>
                    <w:spacing w:line="240" w:lineRule="auto"/>
                    <w:jc w:val="center"/>
                    <w:rPr>
                      <w:rFonts w:ascii="Times New Roman" w:hAnsi="Times New Roman" w:eastAsia="宋体" w:cs="Times New Roman"/>
                      <w:bCs/>
                      <w:color w:val="auto"/>
                      <w:sz w:val="21"/>
                      <w:szCs w:val="21"/>
                      <w:highlight w:val="none"/>
                    </w:rPr>
                  </w:pPr>
                  <w:r>
                    <w:rPr>
                      <w:rFonts w:ascii="Times New Roman" w:hAnsi="Times New Roman" w:eastAsia="宋体" w:cs="Times New Roman"/>
                      <w:bCs/>
                      <w:color w:val="auto"/>
                      <w:sz w:val="21"/>
                      <w:szCs w:val="21"/>
                      <w:highlight w:val="none"/>
                    </w:rPr>
                    <w:t>2.0</w:t>
                  </w:r>
                  <w:r>
                    <w:rPr>
                      <w:rFonts w:ascii="Times New Roman" w:hAnsi="Times New Roman" w:eastAsia="宋体" w:cs="Times New Roman"/>
                      <w:color w:val="auto"/>
                      <w:sz w:val="21"/>
                      <w:szCs w:val="21"/>
                      <w:highlight w:val="none"/>
                    </w:rPr>
                    <w:t>mg/m³</w:t>
                  </w:r>
                </w:p>
              </w:tc>
              <w:tc>
                <w:tcPr>
                  <w:tcW w:w="1939" w:type="pct"/>
                  <w:vMerge w:val="continue"/>
                  <w:tcBorders>
                    <w:tl2br w:val="nil"/>
                    <w:tr2bl w:val="nil"/>
                  </w:tcBorders>
                  <w:vAlign w:val="center"/>
                </w:tcPr>
                <w:p>
                  <w:pPr>
                    <w:spacing w:line="240" w:lineRule="auto"/>
                    <w:jc w:val="center"/>
                    <w:rPr>
                      <w:rFonts w:ascii="Times New Roman" w:hAnsi="Times New Roman" w:eastAsia="宋体" w:cs="Times New Roman"/>
                      <w:color w:val="auto"/>
                      <w:kern w:val="18"/>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pct"/>
                  <w:vMerge w:val="continue"/>
                  <w:tcBorders>
                    <w:tl2br w:val="nil"/>
                    <w:tr2bl w:val="nil"/>
                  </w:tcBorders>
                  <w:vAlign w:val="center"/>
                </w:tcPr>
                <w:p>
                  <w:pPr>
                    <w:spacing w:line="240" w:lineRule="auto"/>
                    <w:jc w:val="center"/>
                    <w:rPr>
                      <w:rFonts w:ascii="Times New Roman" w:hAnsi="Times New Roman" w:eastAsia="宋体" w:cs="Times New Roman"/>
                      <w:color w:val="auto"/>
                      <w:sz w:val="21"/>
                      <w:szCs w:val="21"/>
                      <w:highlight w:val="none"/>
                    </w:rPr>
                  </w:pPr>
                </w:p>
              </w:tc>
              <w:tc>
                <w:tcPr>
                  <w:tcW w:w="1142" w:type="pct"/>
                  <w:tcBorders>
                    <w:tl2br w:val="nil"/>
                    <w:tr2bl w:val="nil"/>
                  </w:tcBorders>
                  <w:vAlign w:val="center"/>
                </w:tcPr>
                <w:p>
                  <w:pPr>
                    <w:adjustRightInd w:val="0"/>
                    <w:snapToGrid w:val="0"/>
                    <w:spacing w:line="240" w:lineRule="auto"/>
                    <w:jc w:val="center"/>
                    <w:rPr>
                      <w:rFonts w:ascii="Times New Roman" w:hAnsi="Times New Roman" w:eastAsia="宋体" w:cs="Times New Roman"/>
                      <w:color w:val="auto"/>
                      <w:spacing w:val="6"/>
                      <w:sz w:val="21"/>
                      <w:szCs w:val="21"/>
                      <w:highlight w:val="none"/>
                    </w:rPr>
                  </w:pPr>
                  <w:r>
                    <w:rPr>
                      <w:rFonts w:hint="eastAsia" w:ascii="Times New Roman" w:hAnsi="Times New Roman" w:eastAsia="宋体" w:cs="Times New Roman"/>
                      <w:color w:val="auto"/>
                      <w:spacing w:val="6"/>
                      <w:sz w:val="21"/>
                      <w:szCs w:val="21"/>
                      <w:highlight w:val="none"/>
                    </w:rPr>
                    <w:t>厂内</w:t>
                  </w:r>
                  <w:r>
                    <w:rPr>
                      <w:rFonts w:ascii="Times New Roman" w:hAnsi="Times New Roman" w:eastAsia="宋体" w:cs="Times New Roman"/>
                      <w:color w:val="auto"/>
                      <w:spacing w:val="6"/>
                      <w:sz w:val="21"/>
                      <w:szCs w:val="21"/>
                      <w:highlight w:val="none"/>
                    </w:rPr>
                    <w:t>监控点处1h平均浓度值</w:t>
                  </w:r>
                </w:p>
              </w:tc>
              <w:tc>
                <w:tcPr>
                  <w:tcW w:w="1012" w:type="pct"/>
                  <w:tcBorders>
                    <w:tl2br w:val="nil"/>
                    <w:tr2bl w:val="nil"/>
                  </w:tcBorders>
                  <w:vAlign w:val="center"/>
                </w:tcPr>
                <w:p>
                  <w:pPr>
                    <w:adjustRightInd w:val="0"/>
                    <w:snapToGrid w:val="0"/>
                    <w:spacing w:line="240" w:lineRule="auto"/>
                    <w:jc w:val="center"/>
                    <w:rPr>
                      <w:rFonts w:ascii="Times New Roman" w:hAnsi="Times New Roman" w:eastAsia="宋体" w:cs="Times New Roman"/>
                      <w:color w:val="auto"/>
                      <w:spacing w:val="6"/>
                      <w:sz w:val="21"/>
                      <w:szCs w:val="21"/>
                      <w:highlight w:val="none"/>
                    </w:rPr>
                  </w:pPr>
                  <w:r>
                    <w:rPr>
                      <w:rFonts w:ascii="Times New Roman" w:hAnsi="Times New Roman" w:eastAsia="宋体" w:cs="Times New Roman"/>
                      <w:color w:val="auto"/>
                      <w:spacing w:val="6"/>
                      <w:sz w:val="21"/>
                      <w:szCs w:val="21"/>
                      <w:highlight w:val="none"/>
                    </w:rPr>
                    <w:t>10</w:t>
                  </w:r>
                  <w:r>
                    <w:rPr>
                      <w:rFonts w:ascii="Times New Roman" w:hAnsi="Times New Roman" w:eastAsia="宋体" w:cs="Times New Roman"/>
                      <w:color w:val="auto"/>
                      <w:sz w:val="21"/>
                      <w:szCs w:val="21"/>
                      <w:highlight w:val="none"/>
                    </w:rPr>
                    <w:t>mg/m³</w:t>
                  </w:r>
                </w:p>
              </w:tc>
              <w:tc>
                <w:tcPr>
                  <w:tcW w:w="1939" w:type="pct"/>
                  <w:vMerge w:val="restart"/>
                  <w:tcBorders>
                    <w:tl2br w:val="nil"/>
                    <w:tr2bl w:val="nil"/>
                  </w:tcBorders>
                  <w:vAlign w:val="center"/>
                </w:tcPr>
                <w:p>
                  <w:pPr>
                    <w:spacing w:line="240" w:lineRule="auto"/>
                    <w:jc w:val="center"/>
                    <w:rPr>
                      <w:rFonts w:ascii="Times New Roman" w:hAnsi="Times New Roman" w:eastAsia="宋体" w:cs="Times New Roman"/>
                      <w:color w:val="auto"/>
                      <w:kern w:val="18"/>
                      <w:sz w:val="21"/>
                      <w:szCs w:val="21"/>
                      <w:highlight w:val="none"/>
                    </w:rPr>
                  </w:pPr>
                  <w:r>
                    <w:rPr>
                      <w:rFonts w:ascii="Times New Roman" w:hAnsi="Times New Roman" w:eastAsia="宋体" w:cs="Times New Roman"/>
                      <w:color w:val="auto"/>
                      <w:kern w:val="18"/>
                      <w:sz w:val="21"/>
                      <w:szCs w:val="21"/>
                      <w:highlight w:val="none"/>
                    </w:rPr>
                    <w:t>《挥发性有机物无组织排放控制标</w:t>
                  </w:r>
                  <w:r>
                    <w:rPr>
                      <w:rFonts w:hint="eastAsia" w:ascii="Times New Roman" w:hAnsi="Times New Roman" w:eastAsia="宋体" w:cs="Times New Roman"/>
                      <w:color w:val="auto"/>
                      <w:kern w:val="18"/>
                      <w:sz w:val="21"/>
                      <w:szCs w:val="21"/>
                      <w:highlight w:val="none"/>
                      <w:lang w:val="en-US" w:eastAsia="zh-CN"/>
                    </w:rPr>
                    <w:t>准</w:t>
                  </w:r>
                  <w:r>
                    <w:rPr>
                      <w:rFonts w:hint="eastAsia" w:ascii="Times New Roman" w:hAnsi="Times New Roman" w:eastAsia="宋体" w:cs="Times New Roman"/>
                      <w:color w:val="auto"/>
                      <w:kern w:val="18"/>
                      <w:sz w:val="21"/>
                      <w:szCs w:val="21"/>
                      <w:highlight w:val="none"/>
                      <w:lang w:eastAsia="zh-CN"/>
                    </w:rPr>
                    <w:t>》</w:t>
                  </w:r>
                  <w:r>
                    <w:rPr>
                      <w:rFonts w:ascii="Times New Roman" w:hAnsi="Times New Roman" w:eastAsia="宋体" w:cs="Times New Roman"/>
                      <w:color w:val="auto"/>
                      <w:kern w:val="18"/>
                      <w:sz w:val="21"/>
                      <w:szCs w:val="21"/>
                      <w:highlight w:val="none"/>
                    </w:rPr>
                    <w:t>（GB37822-2019）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5" w:type="pct"/>
                  <w:vMerge w:val="continue"/>
                  <w:tcBorders>
                    <w:tl2br w:val="nil"/>
                    <w:tr2bl w:val="nil"/>
                  </w:tcBorders>
                  <w:vAlign w:val="center"/>
                </w:tcPr>
                <w:p>
                  <w:pPr>
                    <w:spacing w:line="240" w:lineRule="auto"/>
                    <w:jc w:val="center"/>
                    <w:rPr>
                      <w:rFonts w:ascii="Times New Roman" w:hAnsi="Times New Roman" w:eastAsia="宋体" w:cs="Times New Roman"/>
                      <w:color w:val="auto"/>
                      <w:sz w:val="21"/>
                      <w:szCs w:val="21"/>
                      <w:highlight w:val="none"/>
                    </w:rPr>
                  </w:pPr>
                </w:p>
              </w:tc>
              <w:tc>
                <w:tcPr>
                  <w:tcW w:w="1142" w:type="pct"/>
                  <w:tcBorders>
                    <w:tl2br w:val="nil"/>
                    <w:tr2bl w:val="nil"/>
                  </w:tcBorders>
                  <w:vAlign w:val="center"/>
                </w:tcPr>
                <w:p>
                  <w:pPr>
                    <w:adjustRightInd w:val="0"/>
                    <w:snapToGrid w:val="0"/>
                    <w:spacing w:line="240" w:lineRule="auto"/>
                    <w:jc w:val="center"/>
                    <w:rPr>
                      <w:rFonts w:ascii="Times New Roman" w:hAnsi="Times New Roman" w:eastAsia="宋体" w:cs="Times New Roman"/>
                      <w:color w:val="auto"/>
                      <w:spacing w:val="6"/>
                      <w:sz w:val="21"/>
                      <w:szCs w:val="21"/>
                      <w:highlight w:val="none"/>
                    </w:rPr>
                  </w:pPr>
                  <w:r>
                    <w:rPr>
                      <w:rFonts w:hint="eastAsia" w:ascii="Times New Roman" w:hAnsi="Times New Roman" w:eastAsia="宋体" w:cs="Times New Roman"/>
                      <w:color w:val="auto"/>
                      <w:spacing w:val="6"/>
                      <w:sz w:val="21"/>
                      <w:szCs w:val="21"/>
                      <w:highlight w:val="none"/>
                    </w:rPr>
                    <w:t>厂内监控点处任意一次浓度值</w:t>
                  </w:r>
                </w:p>
              </w:tc>
              <w:tc>
                <w:tcPr>
                  <w:tcW w:w="1012" w:type="pct"/>
                  <w:tcBorders>
                    <w:tl2br w:val="nil"/>
                    <w:tr2bl w:val="nil"/>
                  </w:tcBorders>
                  <w:vAlign w:val="center"/>
                </w:tcPr>
                <w:p>
                  <w:pPr>
                    <w:adjustRightInd w:val="0"/>
                    <w:snapToGrid w:val="0"/>
                    <w:spacing w:line="240" w:lineRule="auto"/>
                    <w:jc w:val="center"/>
                    <w:rPr>
                      <w:rFonts w:ascii="Times New Roman" w:hAnsi="Times New Roman" w:eastAsia="宋体" w:cs="Times New Roman"/>
                      <w:color w:val="auto"/>
                      <w:spacing w:val="6"/>
                      <w:sz w:val="21"/>
                      <w:szCs w:val="21"/>
                      <w:highlight w:val="none"/>
                    </w:rPr>
                  </w:pPr>
                  <w:r>
                    <w:rPr>
                      <w:rFonts w:hint="eastAsia" w:ascii="Times New Roman" w:hAnsi="Times New Roman" w:eastAsia="宋体" w:cs="Times New Roman"/>
                      <w:color w:val="auto"/>
                      <w:spacing w:val="6"/>
                      <w:sz w:val="21"/>
                      <w:szCs w:val="21"/>
                      <w:highlight w:val="none"/>
                    </w:rPr>
                    <w:t>30</w:t>
                  </w:r>
                  <w:r>
                    <w:rPr>
                      <w:rFonts w:ascii="Times New Roman" w:hAnsi="Times New Roman" w:eastAsia="宋体" w:cs="Times New Roman"/>
                      <w:color w:val="auto"/>
                      <w:sz w:val="21"/>
                      <w:szCs w:val="21"/>
                      <w:highlight w:val="none"/>
                    </w:rPr>
                    <w:t>mg/m³</w:t>
                  </w:r>
                </w:p>
              </w:tc>
              <w:tc>
                <w:tcPr>
                  <w:tcW w:w="1939" w:type="pct"/>
                  <w:vMerge w:val="continue"/>
                  <w:tcBorders>
                    <w:tl2br w:val="nil"/>
                    <w:tr2bl w:val="nil"/>
                  </w:tcBorders>
                  <w:vAlign w:val="center"/>
                </w:tcPr>
                <w:p>
                  <w:pPr>
                    <w:spacing w:line="240" w:lineRule="auto"/>
                    <w:jc w:val="center"/>
                    <w:rPr>
                      <w:rFonts w:ascii="Times New Roman" w:hAnsi="Times New Roman" w:eastAsia="宋体" w:cs="Times New Roman"/>
                      <w:color w:val="auto"/>
                      <w:sz w:val="21"/>
                      <w:szCs w:val="21"/>
                      <w:highlight w:val="none"/>
                    </w:rPr>
                  </w:pP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60" w:lineRule="auto"/>
              <w:ind w:leftChars="0"/>
              <w:jc w:val="left"/>
              <w:textAlignment w:val="auto"/>
              <w:rPr>
                <w:rFonts w:hint="eastAsia" w:ascii="Times New Roman" w:hAnsi="Times New Roman" w:eastAsia="宋体" w:cs="Times New Roman"/>
                <w:b/>
                <w:bCs/>
                <w:color w:val="000000"/>
                <w:kern w:val="0"/>
                <w:sz w:val="21"/>
                <w:szCs w:val="21"/>
                <w:highlight w:val="none"/>
                <w:lang w:val="en-US" w:eastAsia="zh-CN"/>
              </w:rPr>
            </w:pPr>
            <w:r>
              <w:rPr>
                <w:rFonts w:hint="eastAsia" w:ascii="Times New Roman" w:hAnsi="Times New Roman" w:eastAsia="宋体" w:cs="Times New Roman"/>
                <w:b/>
                <w:bCs/>
                <w:color w:val="000000"/>
                <w:kern w:val="0"/>
                <w:sz w:val="21"/>
                <w:szCs w:val="21"/>
                <w:highlight w:val="none"/>
                <w:lang w:val="en-US" w:eastAsia="zh-CN"/>
              </w:rPr>
              <w:t xml:space="preserve">2、噪声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eastAsia="宋体" w:cs="Times New Roman"/>
                <w:kern w:val="0"/>
                <w:sz w:val="21"/>
                <w:szCs w:val="21"/>
                <w:highlight w:val="none"/>
              </w:rPr>
            </w:pPr>
            <w:r>
              <w:rPr>
                <w:rFonts w:hint="eastAsia" w:ascii="Times New Roman" w:hAnsi="Times New Roman" w:eastAsia="宋体" w:cs="Times New Roman"/>
                <w:kern w:val="0"/>
                <w:sz w:val="24"/>
                <w:szCs w:val="24"/>
                <w:highlight w:val="none"/>
              </w:rPr>
              <w:t>运</w:t>
            </w:r>
            <w:r>
              <w:rPr>
                <w:rFonts w:hint="eastAsia" w:ascii="Times New Roman" w:hAnsi="Times New Roman" w:eastAsia="宋体" w:cs="Times New Roman"/>
                <w:kern w:val="0"/>
                <w:sz w:val="24"/>
                <w:szCs w:val="24"/>
                <w:highlight w:val="none"/>
                <w:lang w:val="en-US" w:eastAsia="zh-CN"/>
              </w:rPr>
              <w:t>营</w:t>
            </w:r>
            <w:r>
              <w:rPr>
                <w:rFonts w:hint="eastAsia" w:ascii="Times New Roman" w:hAnsi="Times New Roman" w:eastAsia="宋体" w:cs="Times New Roman"/>
                <w:kern w:val="0"/>
                <w:sz w:val="24"/>
                <w:szCs w:val="24"/>
                <w:highlight w:val="none"/>
              </w:rPr>
              <w:t>期</w:t>
            </w:r>
            <w:r>
              <w:rPr>
                <w:rFonts w:ascii="Times New Roman" w:hAnsi="Times New Roman" w:eastAsia="宋体" w:cs="Times New Roman"/>
                <w:kern w:val="0"/>
                <w:sz w:val="24"/>
                <w:szCs w:val="24"/>
                <w:highlight w:val="none"/>
              </w:rPr>
              <w:t>厂界噪声执行《工业企业厂界环境噪声排放标准》（GB12348-2008）</w:t>
            </w:r>
            <w:r>
              <w:rPr>
                <w:rFonts w:hint="eastAsia" w:ascii="Times New Roman" w:hAnsi="Times New Roman" w:eastAsia="宋体" w:cs="Times New Roman"/>
                <w:kern w:val="0"/>
                <w:sz w:val="24"/>
                <w:szCs w:val="24"/>
                <w:highlight w:val="none"/>
                <w:lang w:val="en-US" w:eastAsia="zh-CN"/>
              </w:rPr>
              <w:t>2</w:t>
            </w:r>
            <w:r>
              <w:rPr>
                <w:rFonts w:ascii="Times New Roman" w:hAnsi="Times New Roman" w:eastAsia="宋体" w:cs="Times New Roman"/>
                <w:kern w:val="0"/>
                <w:sz w:val="24"/>
                <w:szCs w:val="24"/>
                <w:highlight w:val="none"/>
              </w:rPr>
              <w:t>类标准</w:t>
            </w:r>
            <w:r>
              <w:rPr>
                <w:rFonts w:hint="eastAsia" w:ascii="Times New Roman" w:hAnsi="Times New Roman" w:eastAsia="宋体" w:cs="Times New Roman"/>
                <w:kern w:val="0"/>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b/>
                <w:bCs/>
                <w:sz w:val="24"/>
                <w:szCs w:val="24"/>
                <w:highlight w:val="none"/>
              </w:rPr>
            </w:pPr>
            <w:r>
              <w:rPr>
                <w:rFonts w:ascii="Times New Roman" w:hAnsi="Times New Roman" w:eastAsia="宋体" w:cs="Times New Roman"/>
                <w:b/>
                <w:bCs/>
                <w:sz w:val="24"/>
                <w:szCs w:val="24"/>
                <w:highlight w:val="none"/>
              </w:rPr>
              <w:t>表</w:t>
            </w:r>
            <w:r>
              <w:rPr>
                <w:rFonts w:hint="eastAsia" w:cs="Times New Roman"/>
                <w:b/>
                <w:bCs/>
                <w:sz w:val="24"/>
                <w:szCs w:val="24"/>
                <w:highlight w:val="none"/>
                <w:lang w:val="en-US" w:eastAsia="zh-CN"/>
              </w:rPr>
              <w:t>6-2</w:t>
            </w:r>
            <w:r>
              <w:rPr>
                <w:rFonts w:ascii="Times New Roman" w:hAnsi="Times New Roman" w:eastAsia="宋体" w:cs="Times New Roman"/>
                <w:b/>
                <w:bCs/>
                <w:sz w:val="24"/>
                <w:szCs w:val="24"/>
                <w:highlight w:val="none"/>
              </w:rPr>
              <w:t xml:space="preserve">  </w:t>
            </w:r>
            <w:r>
              <w:rPr>
                <w:rFonts w:hint="default" w:ascii="Times New Roman" w:hAnsi="Times New Roman" w:cs="Times New Roman"/>
                <w:b/>
                <w:bCs/>
                <w:kern w:val="0"/>
                <w:sz w:val="24"/>
                <w:szCs w:val="24"/>
                <w:highlight w:val="none"/>
              </w:rPr>
              <w:t>工业企业厂界环境噪声排放标准</w:t>
            </w:r>
          </w:p>
          <w:tbl>
            <w:tblPr>
              <w:tblStyle w:val="19"/>
              <w:tblW w:w="48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67"/>
              <w:gridCol w:w="2122"/>
              <w:gridCol w:w="2106"/>
              <w:gridCol w:w="21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atLeast"/>
                <w:jc w:val="center"/>
              </w:trPr>
              <w:tc>
                <w:tcPr>
                  <w:tcW w:w="1137" w:type="pct"/>
                  <w:vAlign w:val="center"/>
                </w:tcPr>
                <w:p>
                  <w:pPr>
                    <w:jc w:val="center"/>
                    <w:rPr>
                      <w:rFonts w:ascii="Times New Roman" w:hAnsi="Times New Roman" w:eastAsia="宋体" w:cs="Times New Roman"/>
                      <w:b/>
                      <w:bCs/>
                      <w:sz w:val="21"/>
                      <w:szCs w:val="21"/>
                      <w:highlight w:val="none"/>
                    </w:rPr>
                  </w:pPr>
                  <w:r>
                    <w:rPr>
                      <w:rFonts w:ascii="Times New Roman" w:hAnsi="Times New Roman" w:eastAsia="宋体" w:cs="Times New Roman"/>
                      <w:b/>
                      <w:bCs/>
                      <w:sz w:val="21"/>
                      <w:szCs w:val="21"/>
                      <w:highlight w:val="none"/>
                    </w:rPr>
                    <w:t>级别</w:t>
                  </w:r>
                </w:p>
              </w:tc>
              <w:tc>
                <w:tcPr>
                  <w:tcW w:w="1292" w:type="pct"/>
                  <w:vAlign w:val="center"/>
                </w:tcPr>
                <w:p>
                  <w:pPr>
                    <w:jc w:val="center"/>
                    <w:rPr>
                      <w:rFonts w:ascii="Times New Roman" w:hAnsi="Times New Roman" w:eastAsia="宋体" w:cs="Times New Roman"/>
                      <w:b/>
                      <w:bCs/>
                      <w:sz w:val="21"/>
                      <w:szCs w:val="21"/>
                      <w:highlight w:val="none"/>
                    </w:rPr>
                  </w:pPr>
                  <w:r>
                    <w:rPr>
                      <w:rFonts w:ascii="Times New Roman" w:hAnsi="Times New Roman" w:eastAsia="宋体" w:cs="Times New Roman"/>
                      <w:b/>
                      <w:bCs/>
                      <w:sz w:val="21"/>
                      <w:szCs w:val="21"/>
                      <w:highlight w:val="none"/>
                    </w:rPr>
                    <w:t>等效声级</w:t>
                  </w:r>
                </w:p>
              </w:tc>
              <w:tc>
                <w:tcPr>
                  <w:tcW w:w="1282" w:type="pct"/>
                  <w:vAlign w:val="center"/>
                </w:tcPr>
                <w:p>
                  <w:pPr>
                    <w:jc w:val="center"/>
                    <w:rPr>
                      <w:rFonts w:ascii="Times New Roman" w:hAnsi="Times New Roman" w:eastAsia="宋体" w:cs="Times New Roman"/>
                      <w:b/>
                      <w:bCs/>
                      <w:sz w:val="21"/>
                      <w:szCs w:val="21"/>
                      <w:highlight w:val="none"/>
                    </w:rPr>
                  </w:pPr>
                  <w:r>
                    <w:rPr>
                      <w:rFonts w:ascii="Times New Roman" w:hAnsi="Times New Roman" w:eastAsia="宋体" w:cs="Times New Roman"/>
                      <w:b/>
                      <w:bCs/>
                      <w:sz w:val="21"/>
                      <w:szCs w:val="21"/>
                      <w:highlight w:val="none"/>
                    </w:rPr>
                    <w:t>昼间</w:t>
                  </w:r>
                </w:p>
              </w:tc>
              <w:tc>
                <w:tcPr>
                  <w:tcW w:w="1287" w:type="pct"/>
                  <w:vAlign w:val="center"/>
                </w:tcPr>
                <w:p>
                  <w:pPr>
                    <w:jc w:val="center"/>
                    <w:rPr>
                      <w:rFonts w:ascii="Times New Roman" w:hAnsi="Times New Roman" w:eastAsia="宋体" w:cs="Times New Roman"/>
                      <w:b/>
                      <w:bCs/>
                      <w:sz w:val="21"/>
                      <w:szCs w:val="21"/>
                      <w:highlight w:val="none"/>
                    </w:rPr>
                  </w:pPr>
                  <w:r>
                    <w:rPr>
                      <w:rFonts w:ascii="Times New Roman" w:hAnsi="Times New Roman" w:eastAsia="宋体" w:cs="Times New Roman"/>
                      <w:b/>
                      <w:bCs/>
                      <w:sz w:val="21"/>
                      <w:szCs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atLeast"/>
                <w:jc w:val="center"/>
              </w:trPr>
              <w:tc>
                <w:tcPr>
                  <w:tcW w:w="1137" w:type="pct"/>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292" w:type="pct"/>
                  <w:vAlign w:val="center"/>
                </w:tcPr>
                <w:p>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dB(A)</w:t>
                  </w:r>
                </w:p>
              </w:tc>
              <w:tc>
                <w:tcPr>
                  <w:tcW w:w="1282" w:type="pct"/>
                  <w:vAlign w:val="center"/>
                </w:tcPr>
                <w:p>
                  <w:pPr>
                    <w:jc w:val="center"/>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6</w:t>
                  </w:r>
                  <w:r>
                    <w:rPr>
                      <w:rFonts w:hint="eastAsia" w:ascii="Times New Roman" w:hAnsi="Times New Roman" w:eastAsia="宋体" w:cs="Times New Roman"/>
                      <w:sz w:val="21"/>
                      <w:szCs w:val="21"/>
                      <w:highlight w:val="none"/>
                      <w:lang w:val="en-US" w:eastAsia="zh-CN"/>
                    </w:rPr>
                    <w:t>0</w:t>
                  </w:r>
                </w:p>
              </w:tc>
              <w:tc>
                <w:tcPr>
                  <w:tcW w:w="1287" w:type="pct"/>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50</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rPr>
                <w:rFonts w:ascii="Times New Roman" w:hAnsi="Times New Roman" w:eastAsia="宋体" w:cs="Times New Roman"/>
                <w:sz w:val="21"/>
                <w:szCs w:val="21"/>
                <w:highlight w:val="none"/>
              </w:rPr>
            </w:pPr>
            <w:r>
              <w:rPr>
                <w:rFonts w:ascii="Times New Roman" w:hAnsi="Times New Roman" w:eastAsia="宋体" w:cs="Times New Roman"/>
                <w:b/>
                <w:bCs/>
                <w:sz w:val="21"/>
                <w:szCs w:val="21"/>
                <w:highlight w:val="none"/>
              </w:rPr>
              <w:t>3、固体废物</w:t>
            </w:r>
          </w:p>
          <w:p>
            <w:pPr>
              <w:pStyle w:val="30"/>
              <w:ind w:left="0" w:leftChars="0" w:firstLine="480" w:firstLineChars="200"/>
              <w:jc w:val="both"/>
              <w:rPr>
                <w:rFonts w:hint="eastAsia" w:ascii="Times New Roman" w:hAnsi="Times New Roman" w:eastAsia="宋体" w:cs="Times New Roman"/>
                <w:kern w:val="0"/>
                <w:sz w:val="24"/>
                <w:szCs w:val="24"/>
                <w:highlight w:val="none"/>
              </w:rPr>
            </w:pPr>
            <w:r>
              <w:rPr>
                <w:rFonts w:hint="eastAsia" w:ascii="Times New Roman" w:hAnsi="Times New Roman" w:cs="Times New Roman"/>
                <w:sz w:val="24"/>
                <w:szCs w:val="24"/>
                <w:highlight w:val="none"/>
              </w:rPr>
              <w:t>一般固体废物执行《一般工业固体废物贮存和填埋污染控制标准》（GB18599-2020）</w:t>
            </w:r>
            <w:r>
              <w:rPr>
                <w:rFonts w:hint="eastAsia" w:ascii="Times New Roman" w:hAnsi="Times New Roman" w:cs="Times New Roman"/>
                <w:sz w:val="24"/>
                <w:szCs w:val="24"/>
                <w:highlight w:val="none"/>
                <w:lang w:val="en-US" w:eastAsia="zh-CN"/>
              </w:rPr>
              <w:t>以及《中华人民共和国固体废物污染环境防治法》（2020年修订）中相关要求</w:t>
            </w:r>
            <w:r>
              <w:rPr>
                <w:rFonts w:hint="eastAsia" w:ascii="Times New Roman" w:hAnsi="Times New Roman" w:eastAsia="宋体" w:cs="Times New Roman"/>
                <w:sz w:val="24"/>
                <w:szCs w:val="24"/>
                <w:highlight w:val="none"/>
              </w:rPr>
              <w:t>；危险废物贮存执行《危险废物贮存污染控制标准》（GB18597-20</w:t>
            </w:r>
            <w:r>
              <w:rPr>
                <w:rFonts w:hint="eastAsia" w:ascii="Times New Roman" w:hAnsi="Times New Roman" w:eastAsia="宋体" w:cs="Times New Roman"/>
                <w:sz w:val="24"/>
                <w:szCs w:val="24"/>
                <w:highlight w:val="none"/>
                <w:lang w:val="en-US" w:eastAsia="zh-CN"/>
              </w:rPr>
              <w:t>23</w:t>
            </w:r>
            <w:r>
              <w:rPr>
                <w:rFonts w:hint="eastAsia"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的有关规定</w:t>
            </w:r>
            <w:r>
              <w:rPr>
                <w:rFonts w:hint="eastAsia" w:ascii="Times New Roman" w:hAnsi="Times New Roman" w:eastAsia="宋体" w:cs="Times New Roman"/>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4、</w:t>
            </w:r>
            <w:r>
              <w:rPr>
                <w:rFonts w:hint="default" w:ascii="Times New Roman" w:hAnsi="Times New Roman" w:eastAsia="宋体" w:cs="Times New Roman"/>
                <w:b/>
                <w:bCs/>
                <w:color w:val="auto"/>
                <w:kern w:val="0"/>
                <w:sz w:val="21"/>
                <w:szCs w:val="21"/>
                <w:highlight w:val="none"/>
                <w:lang w:val="en-US" w:eastAsia="zh-CN"/>
              </w:rPr>
              <w:t>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04" w:firstLineChars="200"/>
              <w:textAlignment w:val="auto"/>
              <w:rPr>
                <w:rFonts w:hint="eastAsia" w:eastAsia="宋体"/>
                <w:b w:val="0"/>
                <w:bCs/>
                <w:color w:val="auto"/>
                <w:sz w:val="24"/>
                <w:szCs w:val="24"/>
                <w:highlight w:val="none"/>
                <w:lang w:eastAsia="zh-CN"/>
              </w:rPr>
            </w:pPr>
            <w:r>
              <w:rPr>
                <w:rFonts w:hint="eastAsia" w:ascii="Times New Roman" w:hAnsi="Times New Roman"/>
                <w:b w:val="0"/>
                <w:bCs/>
                <w:color w:val="auto"/>
                <w:spacing w:val="6"/>
                <w:sz w:val="24"/>
                <w:szCs w:val="24"/>
                <w:highlight w:val="none"/>
              </w:rPr>
              <w:t>项目</w:t>
            </w:r>
            <w:r>
              <w:rPr>
                <w:rFonts w:hint="eastAsia" w:ascii="Times New Roman" w:hAnsi="Times New Roman"/>
                <w:b w:val="0"/>
                <w:bCs/>
                <w:color w:val="auto"/>
                <w:spacing w:val="6"/>
                <w:sz w:val="24"/>
                <w:szCs w:val="24"/>
                <w:highlight w:val="none"/>
                <w:lang w:val="en-US" w:eastAsia="zh-CN"/>
              </w:rPr>
              <w:t>废水</w:t>
            </w:r>
            <w:r>
              <w:rPr>
                <w:rFonts w:hint="eastAsia" w:ascii="Times New Roman" w:hAnsi="Times New Roman"/>
                <w:b w:val="0"/>
                <w:bCs/>
                <w:color w:val="auto"/>
                <w:spacing w:val="6"/>
                <w:sz w:val="24"/>
                <w:szCs w:val="24"/>
                <w:highlight w:val="none"/>
              </w:rPr>
              <w:t>排放</w:t>
            </w:r>
            <w:r>
              <w:rPr>
                <w:b w:val="0"/>
                <w:bCs/>
                <w:color w:val="auto"/>
                <w:sz w:val="24"/>
                <w:szCs w:val="24"/>
                <w:highlight w:val="none"/>
              </w:rPr>
              <w:t>执行《污水</w:t>
            </w:r>
            <w:r>
              <w:rPr>
                <w:rFonts w:hint="eastAsia"/>
                <w:b w:val="0"/>
                <w:bCs/>
                <w:color w:val="auto"/>
                <w:sz w:val="24"/>
                <w:szCs w:val="24"/>
                <w:highlight w:val="none"/>
                <w:lang w:val="en-US" w:eastAsia="zh-CN"/>
              </w:rPr>
              <w:t>综合排放</w:t>
            </w:r>
            <w:r>
              <w:rPr>
                <w:b w:val="0"/>
                <w:bCs/>
                <w:color w:val="auto"/>
                <w:sz w:val="24"/>
                <w:szCs w:val="24"/>
                <w:highlight w:val="none"/>
              </w:rPr>
              <w:t>标准》</w:t>
            </w:r>
            <w:r>
              <w:rPr>
                <w:rFonts w:hint="eastAsia"/>
                <w:b w:val="0"/>
                <w:bCs/>
                <w:color w:val="auto"/>
                <w:sz w:val="24"/>
                <w:szCs w:val="24"/>
                <w:highlight w:val="none"/>
              </w:rPr>
              <w:t>（</w:t>
            </w:r>
            <w:r>
              <w:rPr>
                <w:rFonts w:hint="default" w:ascii="Times New Roman" w:hAnsi="Times New Roman" w:cs="Times New Roman"/>
                <w:b w:val="0"/>
                <w:bCs/>
                <w:color w:val="auto"/>
                <w:sz w:val="24"/>
                <w:szCs w:val="24"/>
                <w:highlight w:val="none"/>
              </w:rPr>
              <w:t>GB</w:t>
            </w:r>
            <w:r>
              <w:rPr>
                <w:rFonts w:hint="default" w:ascii="Times New Roman" w:hAnsi="Times New Roman" w:cs="Times New Roman"/>
                <w:b w:val="0"/>
                <w:bCs/>
                <w:color w:val="auto"/>
                <w:sz w:val="24"/>
                <w:szCs w:val="24"/>
                <w:highlight w:val="none"/>
                <w:lang w:val="en-US" w:eastAsia="zh-CN"/>
              </w:rPr>
              <w:t>8978-1996</w:t>
            </w:r>
            <w:r>
              <w:rPr>
                <w:rFonts w:hint="default" w:ascii="Times New Roman" w:hAnsi="Times New Roman" w:cs="Times New Roman"/>
                <w:b w:val="0"/>
                <w:bCs/>
                <w:color w:val="auto"/>
                <w:sz w:val="24"/>
                <w:szCs w:val="24"/>
                <w:highlight w:val="none"/>
              </w:rPr>
              <w:t>）表</w:t>
            </w:r>
            <w:r>
              <w:rPr>
                <w:rFonts w:hint="default" w:ascii="Times New Roman" w:hAnsi="Times New Roman" w:cs="Times New Roman"/>
                <w:b w:val="0"/>
                <w:bCs/>
                <w:color w:val="auto"/>
                <w:sz w:val="24"/>
                <w:szCs w:val="24"/>
                <w:highlight w:val="none"/>
                <w:lang w:val="en-US" w:eastAsia="zh-CN"/>
              </w:rPr>
              <w:t>4</w:t>
            </w:r>
            <w:r>
              <w:rPr>
                <w:rFonts w:hint="default" w:ascii="Times New Roman" w:hAnsi="Times New Roman" w:cs="Times New Roman"/>
                <w:b w:val="0"/>
                <w:bCs/>
                <w:color w:val="auto"/>
                <w:sz w:val="24"/>
                <w:szCs w:val="24"/>
                <w:highlight w:val="none"/>
              </w:rPr>
              <w:t>中</w:t>
            </w:r>
            <w:r>
              <w:rPr>
                <w:rFonts w:hint="eastAsia"/>
                <w:b w:val="0"/>
                <w:bCs/>
                <w:color w:val="auto"/>
                <w:sz w:val="24"/>
                <w:szCs w:val="24"/>
                <w:highlight w:val="none"/>
                <w:lang w:val="en-US" w:eastAsia="zh-CN"/>
              </w:rPr>
              <w:t>三</w:t>
            </w:r>
            <w:r>
              <w:rPr>
                <w:rFonts w:hint="eastAsia"/>
                <w:b w:val="0"/>
                <w:bCs/>
                <w:color w:val="auto"/>
                <w:sz w:val="24"/>
                <w:szCs w:val="24"/>
                <w:highlight w:val="none"/>
              </w:rPr>
              <w:t>级标准</w:t>
            </w:r>
            <w:r>
              <w:rPr>
                <w:rFonts w:hint="eastAsia"/>
                <w:b w:val="0"/>
                <w:bCs/>
                <w:color w:val="auto"/>
                <w:sz w:val="24"/>
                <w:szCs w:val="24"/>
                <w:highlight w:val="none"/>
                <w:lang w:val="en-US" w:eastAsia="zh-CN"/>
              </w:rPr>
              <w:t>及齐城污水处理厂进水水质要求</w:t>
            </w:r>
            <w:r>
              <w:rPr>
                <w:b w:val="0"/>
                <w:bCs/>
                <w:color w:val="auto"/>
                <w:sz w:val="24"/>
                <w:szCs w:val="24"/>
                <w:highlight w:val="none"/>
              </w:rPr>
              <w:t>，具体数值见下表</w:t>
            </w:r>
            <w:r>
              <w:rPr>
                <w:rFonts w:hint="eastAsia"/>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表</w:t>
            </w:r>
            <w:r>
              <w:rPr>
                <w:rFonts w:hint="eastAsia" w:cs="Times New Roman"/>
                <w:b/>
                <w:bCs w:val="0"/>
                <w:color w:val="auto"/>
                <w:sz w:val="24"/>
                <w:szCs w:val="24"/>
                <w:highlight w:val="none"/>
                <w:lang w:val="en-US" w:eastAsia="zh-CN"/>
              </w:rPr>
              <w:t>6-3</w:t>
            </w:r>
            <w:r>
              <w:rPr>
                <w:rFonts w:hint="default" w:ascii="Times New Roman" w:hAnsi="Times New Roman" w:cs="Times New Roman"/>
                <w:b/>
                <w:bCs w:val="0"/>
                <w:color w:val="auto"/>
                <w:sz w:val="24"/>
                <w:szCs w:val="24"/>
                <w:highlight w:val="none"/>
              </w:rPr>
              <w:t xml:space="preserve">  污</w:t>
            </w:r>
            <w:r>
              <w:rPr>
                <w:rFonts w:ascii="Times New Roman" w:hAnsi="Times New Roman"/>
                <w:b/>
                <w:bCs w:val="0"/>
                <w:color w:val="auto"/>
                <w:sz w:val="24"/>
                <w:szCs w:val="24"/>
                <w:highlight w:val="none"/>
              </w:rPr>
              <w:t>水排入城镇下水道水质B等级标准</w:t>
            </w:r>
            <w:r>
              <w:rPr>
                <w:rFonts w:hint="eastAsia" w:ascii="Times New Roman" w:hAnsi="Times New Roman"/>
                <w:b/>
                <w:bCs w:val="0"/>
                <w:color w:val="auto"/>
                <w:sz w:val="24"/>
                <w:szCs w:val="24"/>
                <w:highlight w:val="none"/>
              </w:rPr>
              <w:t xml:space="preserve">   </w:t>
            </w:r>
            <w:r>
              <w:rPr>
                <w:rFonts w:ascii="Times New Roman" w:hAnsi="Times New Roman"/>
                <w:b/>
                <w:bCs w:val="0"/>
                <w:color w:val="auto"/>
                <w:sz w:val="24"/>
                <w:szCs w:val="24"/>
                <w:highlight w:val="none"/>
              </w:rPr>
              <w:t>单位：除pH外均为mg/L</w:t>
            </w:r>
          </w:p>
          <w:tbl>
            <w:tblPr>
              <w:tblStyle w:val="19"/>
              <w:tblW w:w="80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949"/>
              <w:gridCol w:w="1967"/>
              <w:gridCol w:w="1967"/>
              <w:gridCol w:w="211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1949"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项目名称</w:t>
                  </w:r>
                </w:p>
              </w:tc>
              <w:tc>
                <w:tcPr>
                  <w:tcW w:w="1967"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（GB</w:t>
                  </w:r>
                  <w:r>
                    <w:rPr>
                      <w:rFonts w:hint="default" w:ascii="Times New Roman" w:hAnsi="Times New Roman" w:eastAsia="宋体" w:cs="Times New Roman"/>
                      <w:b/>
                      <w:bCs/>
                      <w:color w:val="auto"/>
                      <w:sz w:val="21"/>
                      <w:szCs w:val="21"/>
                      <w:highlight w:val="none"/>
                      <w:lang w:val="en-US" w:eastAsia="zh-CN"/>
                    </w:rPr>
                    <w:t>8978-1996</w:t>
                  </w: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中</w:t>
                  </w:r>
                  <w:r>
                    <w:rPr>
                      <w:rFonts w:hint="default" w:ascii="Times New Roman" w:hAnsi="Times New Roman" w:eastAsia="宋体" w:cs="Times New Roman"/>
                      <w:b/>
                      <w:bCs/>
                      <w:color w:val="auto"/>
                      <w:sz w:val="21"/>
                      <w:szCs w:val="21"/>
                      <w:highlight w:val="none"/>
                      <w:lang w:val="en-US" w:eastAsia="zh-CN"/>
                    </w:rPr>
                    <w:t>三</w:t>
                  </w:r>
                  <w:r>
                    <w:rPr>
                      <w:rFonts w:hint="default" w:ascii="Times New Roman" w:hAnsi="Times New Roman" w:eastAsia="宋体" w:cs="Times New Roman"/>
                      <w:b/>
                      <w:bCs/>
                      <w:color w:val="auto"/>
                      <w:sz w:val="21"/>
                      <w:szCs w:val="21"/>
                      <w:highlight w:val="none"/>
                    </w:rPr>
                    <w:t>级标准</w:t>
                  </w:r>
                </w:p>
              </w:tc>
              <w:tc>
                <w:tcPr>
                  <w:tcW w:w="1967"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highlight w:val="none"/>
                      <w:lang w:val="en-US"/>
                    </w:rPr>
                  </w:pPr>
                  <w:r>
                    <w:rPr>
                      <w:rFonts w:hint="eastAsia" w:ascii="Times New Roman" w:hAnsi="Times New Roman" w:eastAsia="宋体" w:cs="Times New Roman"/>
                      <w:b/>
                      <w:bCs w:val="0"/>
                      <w:color w:val="auto"/>
                      <w:sz w:val="21"/>
                      <w:szCs w:val="21"/>
                      <w:highlight w:val="none"/>
                      <w:lang w:val="en-US" w:eastAsia="zh-CN"/>
                    </w:rPr>
                    <w:t>齐城污水处理厂进水水质标准</w:t>
                  </w:r>
                </w:p>
              </w:tc>
              <w:tc>
                <w:tcPr>
                  <w:tcW w:w="2117"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本项目排放标准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949"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196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196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6～9</w:t>
                  </w:r>
                </w:p>
              </w:tc>
              <w:tc>
                <w:tcPr>
                  <w:tcW w:w="211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949"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196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196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500</w:t>
                  </w:r>
                </w:p>
              </w:tc>
              <w:tc>
                <w:tcPr>
                  <w:tcW w:w="211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949"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196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0</w:t>
                  </w:r>
                </w:p>
              </w:tc>
              <w:tc>
                <w:tcPr>
                  <w:tcW w:w="196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211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949"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悬浮物（SS）</w:t>
                  </w:r>
                </w:p>
              </w:tc>
              <w:tc>
                <w:tcPr>
                  <w:tcW w:w="196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c>
                <w:tcPr>
                  <w:tcW w:w="196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w:t>
                  </w:r>
                </w:p>
              </w:tc>
              <w:tc>
                <w:tcPr>
                  <w:tcW w:w="211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6" w:hRule="atLeast"/>
                <w:jc w:val="center"/>
              </w:trPr>
              <w:tc>
                <w:tcPr>
                  <w:tcW w:w="1949" w:type="dxa"/>
                  <w:tcBorders>
                    <w:tl2br w:val="nil"/>
                    <w:tr2bl w:val="nil"/>
                  </w:tcBorders>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氨氮</w:t>
                  </w:r>
                </w:p>
              </w:tc>
              <w:tc>
                <w:tcPr>
                  <w:tcW w:w="196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96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c>
                <w:tcPr>
                  <w:tcW w:w="211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r>
          </w:tbl>
          <w:p>
            <w:pPr>
              <w:spacing w:line="360" w:lineRule="auto"/>
              <w:jc w:val="both"/>
              <w:rPr>
                <w:rFonts w:hint="default" w:ascii="Times New Roman" w:hAnsi="Times New Roman" w:cs="Times New Roman"/>
                <w:color w:val="0000FF"/>
                <w:sz w:val="24"/>
                <w:szCs w:val="24"/>
                <w:lang w:eastAsia="zh-CN"/>
              </w:rPr>
            </w:pPr>
            <w:r>
              <w:rPr>
                <w:rFonts w:hint="eastAsia" w:cs="Times New Roman"/>
                <w:color w:val="0000FF"/>
                <w:sz w:val="24"/>
                <w:szCs w:val="24"/>
                <w:lang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0" w:hRule="atLeast"/>
        </w:trPr>
        <w:tc>
          <w:tcPr>
            <w:tcW w:w="331" w:type="pct"/>
            <w:vAlign w:val="center"/>
          </w:tcPr>
          <w:p>
            <w:pPr>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4"/>
                <w:szCs w:val="24"/>
                <w:lang w:eastAsia="zh-CN"/>
              </w:rPr>
              <w:t>主要污染物总量控制指标</w:t>
            </w:r>
          </w:p>
        </w:tc>
        <w:tc>
          <w:tcPr>
            <w:tcW w:w="4668" w:type="pct"/>
          </w:tcPr>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pStyle w:val="18"/>
              <w:rPr>
                <w:rFonts w:hint="default" w:ascii="Times New Roman" w:hAnsi="Times New Roman" w:cs="Times New Roman"/>
                <w:color w:val="auto"/>
                <w:lang w:eastAsia="zh-CN"/>
              </w:rPr>
            </w:pPr>
          </w:p>
          <w:p>
            <w:pPr>
              <w:spacing w:line="360" w:lineRule="auto"/>
              <w:jc w:val="both"/>
              <w:rPr>
                <w:rFonts w:hint="default" w:ascii="Times New Roman" w:hAnsi="Times New Roman" w:cs="Times New Roman"/>
                <w:color w:val="auto"/>
                <w:sz w:val="24"/>
                <w:szCs w:val="24"/>
                <w:lang w:val="en-US" w:eastAsia="zh-CN"/>
              </w:rPr>
            </w:pPr>
          </w:p>
          <w:p>
            <w:pPr>
              <w:pStyle w:val="18"/>
              <w:rPr>
                <w:rFonts w:hint="default" w:ascii="Times New Roman" w:hAnsi="Times New Roman" w:cs="Times New Roman"/>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highlight w:val="none"/>
                <w:lang w:eastAsia="zh-CN"/>
              </w:rPr>
              <w:t>根据淄博市生态环境局临淄分局总量批复意见，本项目总量</w:t>
            </w:r>
            <w:r>
              <w:rPr>
                <w:rFonts w:hint="eastAsia" w:cs="Times New Roman"/>
                <w:color w:val="auto"/>
                <w:sz w:val="24"/>
                <w:szCs w:val="24"/>
                <w:highlight w:val="none"/>
                <w:lang w:val="en-US" w:eastAsia="zh-CN"/>
              </w:rPr>
              <w:t>控制</w:t>
            </w:r>
            <w:r>
              <w:rPr>
                <w:rFonts w:hint="default" w:ascii="Times New Roman" w:hAnsi="Times New Roman" w:cs="Times New Roman"/>
                <w:color w:val="auto"/>
                <w:sz w:val="24"/>
                <w:szCs w:val="24"/>
                <w:highlight w:val="none"/>
                <w:lang w:eastAsia="zh-CN"/>
              </w:rPr>
              <w:t>指标为VOCs</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eastAsia="zh-CN"/>
              </w:rPr>
              <w:t>0.1</w:t>
            </w:r>
            <w:r>
              <w:rPr>
                <w:rFonts w:hint="eastAsia" w:cs="Times New Roman"/>
                <w:color w:val="auto"/>
                <w:sz w:val="24"/>
                <w:szCs w:val="24"/>
                <w:highlight w:val="none"/>
                <w:lang w:val="en-US" w:eastAsia="zh-CN"/>
              </w:rPr>
              <w:t>67</w:t>
            </w:r>
            <w:r>
              <w:rPr>
                <w:rFonts w:hint="default" w:ascii="Times New Roman" w:hAnsi="Times New Roman" w:cs="Times New Roman"/>
                <w:color w:val="auto"/>
                <w:sz w:val="24"/>
                <w:szCs w:val="24"/>
                <w:highlight w:val="none"/>
                <w:lang w:eastAsia="zh-CN"/>
              </w:rPr>
              <w:t>t/a</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COD0.33t/a（内控）、氨氮0.024t/a（内控）；</w:t>
            </w:r>
            <w:r>
              <w:rPr>
                <w:rFonts w:hint="default" w:ascii="Times New Roman" w:hAnsi="Times New Roman" w:cs="Times New Roman"/>
                <w:color w:val="auto"/>
                <w:sz w:val="24"/>
                <w:szCs w:val="24"/>
                <w:lang w:eastAsia="zh-CN"/>
              </w:rPr>
              <w:t>全厂总量</w:t>
            </w:r>
            <w:r>
              <w:rPr>
                <w:rFonts w:hint="eastAsia" w:cs="Times New Roman"/>
                <w:color w:val="auto"/>
                <w:sz w:val="24"/>
                <w:szCs w:val="24"/>
                <w:lang w:val="en-US" w:eastAsia="zh-CN"/>
              </w:rPr>
              <w:t>控制</w:t>
            </w:r>
            <w:r>
              <w:rPr>
                <w:rFonts w:hint="default" w:ascii="Times New Roman" w:hAnsi="Times New Roman" w:cs="Times New Roman"/>
                <w:color w:val="auto"/>
                <w:sz w:val="24"/>
                <w:szCs w:val="24"/>
                <w:lang w:eastAsia="zh-CN"/>
              </w:rPr>
              <w:t>指标为COD</w:t>
            </w:r>
            <w:r>
              <w:rPr>
                <w:rFonts w:hint="eastAsia" w:cs="Times New Roman"/>
                <w:color w:val="auto"/>
                <w:sz w:val="24"/>
                <w:szCs w:val="24"/>
                <w:lang w:val="en-US" w:eastAsia="zh-CN"/>
              </w:rPr>
              <w:t xml:space="preserve"> 9.57</w:t>
            </w:r>
            <w:r>
              <w:rPr>
                <w:rFonts w:hint="default" w:ascii="Times New Roman" w:hAnsi="Times New Roman" w:cs="Times New Roman"/>
                <w:color w:val="auto"/>
                <w:sz w:val="24"/>
                <w:szCs w:val="24"/>
                <w:lang w:eastAsia="zh-CN"/>
              </w:rPr>
              <w:t>t/a（内控）、氨氮0.</w:t>
            </w:r>
            <w:r>
              <w:rPr>
                <w:rFonts w:hint="eastAsia" w:cs="Times New Roman"/>
                <w:color w:val="auto"/>
                <w:sz w:val="24"/>
                <w:szCs w:val="24"/>
                <w:lang w:val="en-US" w:eastAsia="zh-CN"/>
              </w:rPr>
              <w:t>944</w:t>
            </w:r>
            <w:r>
              <w:rPr>
                <w:rFonts w:hint="default" w:ascii="Times New Roman" w:hAnsi="Times New Roman" w:cs="Times New Roman"/>
                <w:color w:val="auto"/>
                <w:sz w:val="24"/>
                <w:szCs w:val="24"/>
                <w:lang w:eastAsia="zh-CN"/>
              </w:rPr>
              <w:t>t/a（内控）、VOCs</w:t>
            </w:r>
            <w:r>
              <w:rPr>
                <w:rFonts w:hint="eastAsia" w:cs="Times New Roman"/>
                <w:color w:val="auto"/>
                <w:sz w:val="24"/>
                <w:szCs w:val="24"/>
                <w:lang w:val="en-US" w:eastAsia="zh-CN"/>
              </w:rPr>
              <w:t xml:space="preserve"> 5.107</w:t>
            </w:r>
            <w:r>
              <w:rPr>
                <w:rFonts w:hint="default" w:ascii="Times New Roman" w:hAnsi="Times New Roman" w:cs="Times New Roman"/>
                <w:color w:val="auto"/>
                <w:sz w:val="24"/>
                <w:szCs w:val="24"/>
                <w:lang w:eastAsia="zh-CN"/>
              </w:rPr>
              <w:t>t/a。</w:t>
            </w:r>
          </w:p>
          <w:p>
            <w:pPr>
              <w:spacing w:line="360" w:lineRule="auto"/>
              <w:jc w:val="both"/>
              <w:rPr>
                <w:rFonts w:hint="default" w:ascii="Times New Roman" w:hAnsi="Times New Roman" w:cs="Times New Roman"/>
                <w:color w:val="auto"/>
                <w:sz w:val="24"/>
                <w:szCs w:val="24"/>
                <w:lang w:eastAsia="zh-CN"/>
              </w:rPr>
            </w:pPr>
          </w:p>
          <w:p>
            <w:pPr>
              <w:spacing w:line="360" w:lineRule="auto"/>
              <w:jc w:val="both"/>
              <w:rPr>
                <w:rFonts w:hint="default" w:ascii="Times New Roman" w:hAnsi="Times New Roman" w:cs="Times New Roman"/>
                <w:color w:val="auto"/>
                <w:sz w:val="24"/>
                <w:szCs w:val="24"/>
                <w:lang w:eastAsia="zh-CN"/>
              </w:rPr>
            </w:pPr>
          </w:p>
          <w:p>
            <w:pPr>
              <w:spacing w:line="360" w:lineRule="auto"/>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jc w:val="both"/>
              <w:rPr>
                <w:rFonts w:hint="default" w:ascii="Times New Roman" w:hAnsi="Times New Roman" w:cs="Times New Roman"/>
                <w:color w:val="auto"/>
                <w:sz w:val="24"/>
                <w:szCs w:val="24"/>
                <w:lang w:eastAsia="zh-CN"/>
              </w:rPr>
            </w:pPr>
          </w:p>
        </w:tc>
      </w:tr>
    </w:tbl>
    <w:p>
      <w:pPr>
        <w:spacing w:line="360" w:lineRule="auto"/>
        <w:rPr>
          <w:rFonts w:hint="default" w:ascii="Times New Roman" w:hAnsi="Times New Roman" w:cs="Times New Roman"/>
          <w:b/>
          <w:bCs/>
          <w:color w:val="0000FF"/>
          <w:sz w:val="24"/>
          <w:szCs w:val="24"/>
          <w:lang w:eastAsia="zh-CN"/>
        </w:rPr>
      </w:pPr>
      <w:r>
        <w:rPr>
          <w:rFonts w:hint="default" w:ascii="Times New Roman" w:hAnsi="Times New Roman" w:cs="Times New Roman"/>
          <w:b/>
          <w:bCs/>
          <w:color w:val="0000FF"/>
          <w:sz w:val="24"/>
          <w:szCs w:val="24"/>
          <w:lang w:eastAsia="zh-CN"/>
        </w:rPr>
        <w:br w:type="page"/>
      </w:r>
      <w:r>
        <w:rPr>
          <w:rFonts w:hint="default" w:ascii="Times New Roman" w:hAnsi="Times New Roman" w:cs="Times New Roman"/>
          <w:b/>
          <w:bCs/>
          <w:color w:val="auto"/>
          <w:sz w:val="24"/>
          <w:szCs w:val="24"/>
          <w:lang w:eastAsia="zh-CN"/>
        </w:rPr>
        <w:t>表七、验收监测内容</w:t>
      </w:r>
    </w:p>
    <w:tbl>
      <w:tblPr>
        <w:tblStyle w:val="19"/>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86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54" w:hRule="atLeast"/>
        </w:trPr>
        <w:tc>
          <w:tcPr>
            <w:tcW w:w="323" w:type="pct"/>
            <w:vAlign w:val="center"/>
          </w:tcPr>
          <w:p>
            <w:pPr>
              <w:spacing w:line="364" w:lineRule="exact"/>
              <w:jc w:val="center"/>
              <w:rPr>
                <w:rFonts w:hint="default" w:ascii="Times New Roman" w:hAnsi="Times New Roman" w:cs="Times New Roman"/>
                <w:b/>
                <w:bCs/>
                <w:color w:val="0000FF"/>
                <w:sz w:val="24"/>
                <w:szCs w:val="24"/>
                <w:lang w:eastAsia="zh-CN"/>
              </w:rPr>
            </w:pPr>
            <w:r>
              <w:rPr>
                <w:rFonts w:hint="default" w:ascii="Times New Roman" w:hAnsi="Times New Roman" w:cs="Times New Roman"/>
                <w:b/>
                <w:bCs/>
                <w:color w:val="auto"/>
                <w:sz w:val="24"/>
                <w:szCs w:val="24"/>
                <w:lang w:eastAsia="zh-CN"/>
              </w:rPr>
              <w:t>环境保护设施调试效果</w:t>
            </w:r>
          </w:p>
        </w:tc>
        <w:tc>
          <w:tcPr>
            <w:tcW w:w="4676" w:type="pct"/>
          </w:tcPr>
          <w:p>
            <w:pPr>
              <w:spacing w:line="360" w:lineRule="auto"/>
              <w:jc w:val="both"/>
              <w:rPr>
                <w:rFonts w:hint="default" w:ascii="Times New Roman" w:hAnsi="Times New Roman" w:cs="Times New Roman"/>
                <w:b/>
                <w:bCs/>
                <w:color w:val="auto"/>
                <w:sz w:val="24"/>
                <w:szCs w:val="24"/>
                <w:lang w:eastAsia="zh-CN"/>
              </w:rPr>
            </w:pPr>
          </w:p>
          <w:p>
            <w:pPr>
              <w:spacing w:line="360" w:lineRule="auto"/>
              <w:jc w:val="both"/>
              <w:rPr>
                <w:rFonts w:hint="default" w:ascii="Times New Roman" w:hAnsi="Times New Roman" w:cs="Times New Roman"/>
                <w:b/>
                <w:bCs/>
                <w:color w:val="auto"/>
                <w:sz w:val="24"/>
                <w:szCs w:val="24"/>
                <w:lang w:eastAsia="zh-CN"/>
              </w:rPr>
            </w:pPr>
          </w:p>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7.1 废气</w:t>
            </w:r>
          </w:p>
          <w:p>
            <w:pPr>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有组织排放废气采样、布点按照《固定源废气监测技术规范》（HJ/T397-2007）相关规定进行。</w:t>
            </w:r>
          </w:p>
          <w:p>
            <w:pPr>
              <w:spacing w:line="240" w:lineRule="auto"/>
              <w:jc w:val="center"/>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表</w:t>
            </w:r>
            <w:r>
              <w:rPr>
                <w:rFonts w:hint="eastAsia" w:cs="Times New Roman"/>
                <w:b/>
                <w:bCs/>
                <w:color w:val="auto"/>
                <w:sz w:val="24"/>
                <w:lang w:val="en-US" w:eastAsia="zh-CN"/>
              </w:rPr>
              <w:t>7-1</w:t>
            </w:r>
            <w:r>
              <w:rPr>
                <w:rFonts w:hint="default" w:ascii="Times New Roman" w:hAnsi="Times New Roman" w:cs="Times New Roman"/>
                <w:b/>
                <w:bCs/>
                <w:color w:val="auto"/>
                <w:sz w:val="24"/>
                <w:lang w:eastAsia="zh-CN"/>
              </w:rPr>
              <w:t xml:space="preserve">  废气监测一览表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2325"/>
              <w:gridCol w:w="2563"/>
              <w:gridCol w:w="23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232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监测点位</w:t>
                  </w:r>
                </w:p>
              </w:tc>
              <w:tc>
                <w:tcPr>
                  <w:tcW w:w="256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监测项目</w:t>
                  </w:r>
                </w:p>
              </w:tc>
              <w:tc>
                <w:tcPr>
                  <w:tcW w:w="23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232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bidi="ar-SA"/>
                    </w:rPr>
                    <w:t>DA001进口、出口</w:t>
                  </w:r>
                </w:p>
              </w:tc>
              <w:tc>
                <w:tcPr>
                  <w:tcW w:w="256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VOCs（以非甲烷总烃计）</w:t>
                  </w:r>
                </w:p>
              </w:tc>
              <w:tc>
                <w:tcPr>
                  <w:tcW w:w="23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3次/天，连续监测两天</w:t>
                  </w:r>
                </w:p>
              </w:tc>
            </w:tr>
          </w:tbl>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无组织排放废气采样、布点按照 《大气污染物无组织排放监测技术导则》 （HJ/T55-2000）进行。根据监测当天的风向布点，厂界上风向一个点、下风向三个点。记录监测期间的风向、风速、气温、气压、总云、低云等气象参数。</w:t>
            </w:r>
          </w:p>
          <w:p>
            <w:pPr>
              <w:spacing w:line="240" w:lineRule="auto"/>
              <w:jc w:val="center"/>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表</w:t>
            </w:r>
            <w:r>
              <w:rPr>
                <w:rFonts w:hint="eastAsia" w:cs="Times New Roman"/>
                <w:b/>
                <w:bCs/>
                <w:color w:val="auto"/>
                <w:sz w:val="24"/>
                <w:lang w:val="en-US" w:eastAsia="zh-CN"/>
              </w:rPr>
              <w:t>7-2</w:t>
            </w:r>
            <w:r>
              <w:rPr>
                <w:rFonts w:hint="default" w:ascii="Times New Roman" w:hAnsi="Times New Roman" w:cs="Times New Roman"/>
                <w:b/>
                <w:bCs/>
                <w:color w:val="auto"/>
                <w:sz w:val="24"/>
                <w:lang w:eastAsia="zh-CN"/>
              </w:rPr>
              <w:t xml:space="preserve">  无组织排放废气监测一览表</w:t>
            </w:r>
          </w:p>
          <w:tbl>
            <w:tblPr>
              <w:tblStyle w:val="19"/>
              <w:tblW w:w="494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96"/>
              <w:gridCol w:w="2563"/>
              <w:gridCol w:w="2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2045" w:type="pct"/>
                  <w:vAlign w:val="center"/>
                </w:tcPr>
                <w:p>
                  <w:pPr>
                    <w:pStyle w:val="7"/>
                    <w:kinsoku w:val="0"/>
                    <w:overflowPunct w:val="0"/>
                    <w:spacing w:before="6"/>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监测点位</w:t>
                  </w:r>
                </w:p>
              </w:tc>
              <w:tc>
                <w:tcPr>
                  <w:tcW w:w="1543" w:type="pct"/>
                  <w:vAlign w:val="center"/>
                </w:tcPr>
                <w:p>
                  <w:pPr>
                    <w:pStyle w:val="7"/>
                    <w:kinsoku w:val="0"/>
                    <w:overflowPunct w:val="0"/>
                    <w:spacing w:before="6"/>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监测项目</w:t>
                  </w:r>
                </w:p>
              </w:tc>
              <w:tc>
                <w:tcPr>
                  <w:tcW w:w="1410" w:type="pct"/>
                  <w:vAlign w:val="center"/>
                </w:tcPr>
                <w:p>
                  <w:pPr>
                    <w:pStyle w:val="7"/>
                    <w:kinsoku w:val="0"/>
                    <w:overflowPunct w:val="0"/>
                    <w:spacing w:before="6"/>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5" w:type="pct"/>
                  <w:vAlign w:val="center"/>
                </w:tcPr>
                <w:p>
                  <w:pPr>
                    <w:pStyle w:val="7"/>
                    <w:kinsoku w:val="0"/>
                    <w:overflowPunct w:val="0"/>
                    <w:spacing w:before="6"/>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厂界上风向一个点，下风向三个点</w:t>
                  </w:r>
                </w:p>
              </w:tc>
              <w:tc>
                <w:tcPr>
                  <w:tcW w:w="1543" w:type="pct"/>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vertAlign w:val="baseline"/>
                      <w:lang w:val="en-US" w:eastAsia="zh-CN"/>
                    </w:rPr>
                    <w:t>VOCs（以非甲烷总烃计）</w:t>
                  </w:r>
                </w:p>
              </w:tc>
              <w:tc>
                <w:tcPr>
                  <w:tcW w:w="1410" w:type="pct"/>
                  <w:vAlign w:val="center"/>
                </w:tcPr>
                <w:p>
                  <w:pPr>
                    <w:pStyle w:val="7"/>
                    <w:kinsoku w:val="0"/>
                    <w:overflowPunct w:val="0"/>
                    <w:spacing w:before="6"/>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4次/天，连续监测两天</w:t>
                  </w:r>
                </w:p>
              </w:tc>
            </w:tr>
          </w:tbl>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7.</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 xml:space="preserve"> 噪声</w:t>
            </w:r>
          </w:p>
          <w:p>
            <w:pPr>
              <w:spacing w:line="360"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厂界噪声监测布点按照《工业企业厂界环境噪声排放标准》（GB12348-2008）中有关规定进行，噪声布点见</w:t>
            </w:r>
            <w:r>
              <w:rPr>
                <w:rFonts w:hint="eastAsia" w:cs="Times New Roman"/>
                <w:color w:val="auto"/>
                <w:sz w:val="24"/>
                <w:lang w:val="en-US" w:eastAsia="zh-CN"/>
              </w:rPr>
              <w:t>下表</w:t>
            </w:r>
            <w:r>
              <w:rPr>
                <w:rFonts w:hint="default" w:ascii="Times New Roman" w:hAnsi="Times New Roman" w:cs="Times New Roman"/>
                <w:color w:val="auto"/>
                <w:sz w:val="24"/>
                <w:lang w:eastAsia="zh-CN"/>
              </w:rPr>
              <w:t>。</w:t>
            </w:r>
          </w:p>
          <w:p>
            <w:pPr>
              <w:pStyle w:val="24"/>
              <w:spacing w:line="240" w:lineRule="auto"/>
              <w:jc w:val="center"/>
              <w:rPr>
                <w:rFonts w:hint="default" w:ascii="Times New Roman" w:hAnsi="Times New Roman" w:cs="Times New Roman"/>
                <w:b/>
                <w:color w:val="auto"/>
                <w:sz w:val="24"/>
              </w:rPr>
            </w:pPr>
            <w:r>
              <w:rPr>
                <w:rFonts w:hint="default" w:ascii="Times New Roman" w:hAnsi="Times New Roman" w:cs="Times New Roman"/>
                <w:b/>
                <w:color w:val="auto"/>
                <w:sz w:val="24"/>
              </w:rPr>
              <w:t>表</w:t>
            </w:r>
            <w:r>
              <w:rPr>
                <w:rFonts w:hint="eastAsia" w:ascii="Times New Roman" w:hAnsi="Times New Roman" w:cs="Times New Roman"/>
                <w:b/>
                <w:color w:val="auto"/>
                <w:sz w:val="24"/>
                <w:lang w:val="en-US" w:eastAsia="zh-CN"/>
              </w:rPr>
              <w:t xml:space="preserve">7-3  </w:t>
            </w:r>
            <w:r>
              <w:rPr>
                <w:rFonts w:hint="default" w:ascii="Times New Roman" w:hAnsi="Times New Roman" w:cs="Times New Roman"/>
                <w:b/>
                <w:color w:val="auto"/>
                <w:sz w:val="24"/>
              </w:rPr>
              <w:t>噪声布点一览表</w:t>
            </w:r>
          </w:p>
          <w:tbl>
            <w:tblPr>
              <w:tblStyle w:val="19"/>
              <w:tblW w:w="4909" w:type="pct"/>
              <w:tblInd w:w="14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3308"/>
              <w:gridCol w:w="1711"/>
              <w:gridCol w:w="25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4" w:type="pct"/>
                  <w:vAlign w:val="center"/>
                </w:tcPr>
                <w:p>
                  <w:pPr>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序号</w:t>
                  </w:r>
                </w:p>
              </w:tc>
              <w:tc>
                <w:tcPr>
                  <w:tcW w:w="2005" w:type="pct"/>
                  <w:vAlign w:val="center"/>
                </w:tcPr>
                <w:p>
                  <w:pPr>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监测点位</w:t>
                  </w:r>
                </w:p>
              </w:tc>
              <w:tc>
                <w:tcPr>
                  <w:tcW w:w="1037" w:type="pct"/>
                  <w:vAlign w:val="center"/>
                </w:tcPr>
                <w:p>
                  <w:pPr>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监测项目</w:t>
                  </w:r>
                </w:p>
              </w:tc>
              <w:tc>
                <w:tcPr>
                  <w:tcW w:w="1521" w:type="pct"/>
                  <w:vAlign w:val="center"/>
                </w:tcPr>
                <w:p>
                  <w:pPr>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4" w:type="pct"/>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w:t>
                  </w:r>
                </w:p>
              </w:tc>
              <w:tc>
                <w:tcPr>
                  <w:tcW w:w="2005" w:type="pct"/>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厂界外东、西、南、北方向各设一个点，共布设四个点位</w:t>
                  </w:r>
                </w:p>
              </w:tc>
              <w:tc>
                <w:tcPr>
                  <w:tcW w:w="1037" w:type="pct"/>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厂界环境噪声</w:t>
                  </w:r>
                </w:p>
              </w:tc>
              <w:tc>
                <w:tcPr>
                  <w:tcW w:w="1521" w:type="pct"/>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每个监测点位昼间、夜间各监测1次，连续2天。</w:t>
                  </w:r>
                </w:p>
              </w:tc>
            </w:tr>
          </w:tbl>
          <w:p>
            <w:pPr>
              <w:spacing w:line="360" w:lineRule="auto"/>
              <w:rPr>
                <w:rFonts w:hint="default" w:ascii="Times New Roman" w:hAnsi="Times New Roman" w:cs="Times New Roman"/>
                <w:b/>
                <w:bCs/>
                <w:color w:val="000000"/>
                <w:sz w:val="24"/>
              </w:rPr>
            </w:pPr>
            <w:r>
              <w:rPr>
                <w:rFonts w:hint="default" w:ascii="Times New Roman" w:hAnsi="Times New Roman" w:cs="Times New Roman"/>
                <w:b/>
                <w:bCs/>
                <w:color w:val="auto"/>
                <w:sz w:val="24"/>
                <w:szCs w:val="24"/>
                <w:lang w:eastAsia="zh-CN"/>
              </w:rPr>
              <w:t>7.</w:t>
            </w:r>
            <w:r>
              <w:rPr>
                <w:rFonts w:hint="eastAsia" w:cs="Times New Roman"/>
                <w:b/>
                <w:bCs/>
                <w:color w:val="auto"/>
                <w:sz w:val="24"/>
                <w:szCs w:val="24"/>
                <w:lang w:val="en-US" w:eastAsia="zh-CN"/>
              </w:rPr>
              <w:t>3</w:t>
            </w:r>
            <w:bookmarkStart w:id="0" w:name="_Toc512438100"/>
            <w:bookmarkStart w:id="1" w:name="_Toc530647857"/>
            <w:r>
              <w:rPr>
                <w:rFonts w:hint="default" w:ascii="Times New Roman" w:hAnsi="Times New Roman" w:cs="Times New Roman"/>
                <w:b/>
                <w:bCs/>
                <w:color w:val="000000"/>
                <w:sz w:val="24"/>
              </w:rPr>
              <w:t>废水监测内容</w:t>
            </w:r>
            <w:bookmarkEnd w:id="0"/>
            <w:bookmarkEnd w:id="1"/>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废水监测点位、监测内容及监测频次详见</w:t>
            </w:r>
            <w:r>
              <w:rPr>
                <w:rFonts w:hint="eastAsia" w:ascii="Times New Roman" w:hAnsi="Times New Roman" w:cs="Times New Roman"/>
                <w:color w:val="000000"/>
                <w:sz w:val="24"/>
                <w:lang w:val="en-US" w:eastAsia="zh-CN"/>
              </w:rPr>
              <w:t>下表</w:t>
            </w:r>
            <w:r>
              <w:rPr>
                <w:rFonts w:hint="default" w:ascii="Times New Roman" w:hAnsi="Times New Roman" w:cs="Times New Roman"/>
                <w:color w:val="000000"/>
                <w:sz w:val="24"/>
              </w:rPr>
              <w:t>。</w:t>
            </w:r>
          </w:p>
          <w:p>
            <w:pPr>
              <w:spacing w:line="240" w:lineRule="auto"/>
              <w:ind w:firstLine="482" w:firstLineChars="200"/>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表7-</w:t>
            </w:r>
            <w:r>
              <w:rPr>
                <w:rFonts w:hint="eastAsia" w:ascii="Times New Roman" w:hAnsi="Times New Roman" w:cs="Times New Roman"/>
                <w:b/>
                <w:bCs/>
                <w:color w:val="000000"/>
                <w:sz w:val="24"/>
                <w:lang w:val="en-US" w:eastAsia="zh-CN"/>
              </w:rPr>
              <w:t>4</w:t>
            </w:r>
            <w:r>
              <w:rPr>
                <w:rFonts w:hint="default" w:ascii="Times New Roman" w:hAnsi="Times New Roman" w:cs="Times New Roman"/>
                <w:b/>
                <w:bCs/>
                <w:color w:val="000000"/>
                <w:sz w:val="24"/>
              </w:rPr>
              <w:t xml:space="preserve">  废水监测内容</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1908"/>
              <w:gridCol w:w="3102"/>
              <w:gridCol w:w="22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8" w:type="dxa"/>
                  <w:vAlign w:val="center"/>
                </w:tcPr>
                <w:p>
                  <w:pPr>
                    <w:spacing w:before="24" w:after="24"/>
                    <w:jc w:val="center"/>
                    <w:rPr>
                      <w:rFonts w:hint="default" w:ascii="Times New Roman" w:hAnsi="Times New Roman" w:cs="Times New Roman"/>
                      <w:color w:val="000000"/>
                      <w:szCs w:val="21"/>
                    </w:rPr>
                  </w:pPr>
                  <w:r>
                    <w:rPr>
                      <w:rFonts w:hint="default" w:ascii="Times New Roman" w:hAnsi="Times New Roman" w:cs="Times New Roman"/>
                      <w:color w:val="000000"/>
                      <w:szCs w:val="21"/>
                    </w:rPr>
                    <w:t>序号</w:t>
                  </w:r>
                </w:p>
              </w:tc>
              <w:tc>
                <w:tcPr>
                  <w:tcW w:w="1908" w:type="dxa"/>
                  <w:vAlign w:val="center"/>
                </w:tcPr>
                <w:p>
                  <w:pPr>
                    <w:spacing w:before="24" w:after="24"/>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监测点位</w:t>
                  </w:r>
                </w:p>
              </w:tc>
              <w:tc>
                <w:tcPr>
                  <w:tcW w:w="3102" w:type="dxa"/>
                  <w:vAlign w:val="center"/>
                </w:tcPr>
                <w:p>
                  <w:pPr>
                    <w:spacing w:before="24" w:after="24"/>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监测项目</w:t>
                  </w:r>
                </w:p>
              </w:tc>
              <w:tc>
                <w:tcPr>
                  <w:tcW w:w="2241" w:type="dxa"/>
                  <w:vAlign w:val="center"/>
                </w:tcPr>
                <w:p>
                  <w:pPr>
                    <w:spacing w:before="24" w:after="24"/>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8" w:type="dxa"/>
                  <w:vAlign w:val="center"/>
                </w:tcPr>
                <w:p>
                  <w:pPr>
                    <w:spacing w:before="24" w:after="24"/>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908" w:type="dxa"/>
                  <w:vAlign w:val="center"/>
                </w:tcPr>
                <w:p>
                  <w:pPr>
                    <w:spacing w:before="24" w:after="24"/>
                    <w:jc w:val="center"/>
                    <w:rPr>
                      <w:rFonts w:hint="default" w:ascii="Times New Roman" w:hAnsi="Times New Roman" w:cs="Times New Roman"/>
                      <w:color w:val="000000"/>
                      <w:szCs w:val="21"/>
                    </w:rPr>
                  </w:pPr>
                  <w:r>
                    <w:rPr>
                      <w:rFonts w:hint="default" w:ascii="Times New Roman" w:hAnsi="Times New Roman" w:cs="Times New Roman"/>
                      <w:color w:val="000000"/>
                      <w:szCs w:val="21"/>
                    </w:rPr>
                    <w:t>污水总排口</w:t>
                  </w:r>
                </w:p>
              </w:tc>
              <w:tc>
                <w:tcPr>
                  <w:tcW w:w="31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pH、COD、BOD</w:t>
                  </w:r>
                  <w:r>
                    <w:rPr>
                      <w:rFonts w:hint="default" w:ascii="Times New Roman" w:hAnsi="Times New Roman" w:cs="Times New Roman"/>
                      <w:color w:val="000000"/>
                      <w:szCs w:val="21"/>
                      <w:vertAlign w:val="subscript"/>
                    </w:rPr>
                    <w:t>5</w:t>
                  </w:r>
                  <w:r>
                    <w:rPr>
                      <w:rFonts w:hint="default" w:ascii="Times New Roman" w:hAnsi="Times New Roman" w:cs="Times New Roman"/>
                      <w:color w:val="000000"/>
                      <w:szCs w:val="21"/>
                    </w:rPr>
                    <w:t>、氨氮、SS</w:t>
                  </w:r>
                </w:p>
              </w:tc>
              <w:tc>
                <w:tcPr>
                  <w:tcW w:w="2241" w:type="dxa"/>
                  <w:vAlign w:val="center"/>
                </w:tcPr>
                <w:p>
                  <w:pPr>
                    <w:spacing w:before="24" w:after="24"/>
                    <w:jc w:val="center"/>
                    <w:rPr>
                      <w:rFonts w:hint="default" w:ascii="Times New Roman" w:hAnsi="Times New Roman" w:cs="Times New Roman"/>
                      <w:color w:val="000000"/>
                      <w:szCs w:val="21"/>
                    </w:rPr>
                  </w:pPr>
                  <w:r>
                    <w:rPr>
                      <w:rFonts w:hint="default" w:ascii="Times New Roman" w:hAnsi="Times New Roman" w:cs="Times New Roman"/>
                      <w:color w:val="000000"/>
                      <w:szCs w:val="21"/>
                    </w:rPr>
                    <w:t>4次/天，连续2天</w:t>
                  </w:r>
                </w:p>
              </w:tc>
            </w:tr>
          </w:tbl>
          <w:p>
            <w:pPr>
              <w:spacing w:line="360" w:lineRule="auto"/>
              <w:jc w:val="both"/>
              <w:rPr>
                <w:rFonts w:hint="default" w:ascii="Times New Roman" w:hAnsi="Times New Roman" w:cs="Times New Roman"/>
                <w:b/>
                <w:bCs/>
                <w:color w:val="auto"/>
                <w:sz w:val="24"/>
                <w:szCs w:val="24"/>
                <w:lang w:eastAsia="zh-CN"/>
              </w:rPr>
            </w:pPr>
            <w:r>
              <w:rPr>
                <w:rFonts w:hint="eastAsia" w:cs="Times New Roman"/>
                <w:b/>
                <w:bCs/>
                <w:color w:val="auto"/>
                <w:sz w:val="24"/>
                <w:szCs w:val="24"/>
                <w:lang w:val="en-US" w:eastAsia="zh-CN"/>
              </w:rPr>
              <w:t>7.4</w:t>
            </w:r>
            <w:r>
              <w:rPr>
                <w:rFonts w:hint="default" w:ascii="Times New Roman" w:hAnsi="Times New Roman" w:cs="Times New Roman"/>
                <w:b/>
                <w:bCs/>
                <w:color w:val="auto"/>
                <w:sz w:val="24"/>
                <w:szCs w:val="24"/>
                <w:lang w:eastAsia="zh-CN"/>
              </w:rPr>
              <w:t>固废</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根据建设单位台账进行。</w:t>
            </w:r>
          </w:p>
          <w:p>
            <w:pPr>
              <w:pStyle w:val="18"/>
              <w:rPr>
                <w:rFonts w:hint="default" w:ascii="Times New Roman" w:hAnsi="Times New Roman" w:cs="Times New Roman"/>
                <w:color w:val="auto"/>
                <w:sz w:val="24"/>
                <w:szCs w:val="24"/>
                <w:lang w:eastAsia="zh-CN"/>
              </w:rPr>
            </w:pPr>
          </w:p>
          <w:p>
            <w:pPr>
              <w:rPr>
                <w:rFonts w:hint="default" w:ascii="Times New Roman" w:hAnsi="Times New Roman" w:cs="Times New Roman"/>
                <w:color w:val="0000FF"/>
                <w:sz w:val="24"/>
                <w:szCs w:val="24"/>
                <w:lang w:eastAsia="zh-CN"/>
              </w:rPr>
            </w:pPr>
          </w:p>
          <w:p>
            <w:pPr>
              <w:pStyle w:val="18"/>
              <w:rPr>
                <w:rFonts w:hint="default" w:ascii="Times New Roman" w:hAnsi="Times New Roman" w:cs="Times New Roman"/>
                <w:color w:val="0000FF"/>
                <w:sz w:val="24"/>
                <w:szCs w:val="24"/>
                <w:lang w:eastAsia="zh-CN"/>
              </w:rPr>
            </w:pPr>
          </w:p>
          <w:p>
            <w:pPr>
              <w:spacing w:line="360" w:lineRule="auto"/>
              <w:jc w:val="both"/>
              <w:rPr>
                <w:rFonts w:hint="default" w:ascii="Times New Roman" w:hAnsi="Times New Roman" w:cs="Times New Roman"/>
                <w:b/>
                <w:bCs/>
                <w:color w:val="0000FF"/>
                <w:sz w:val="24"/>
                <w:szCs w:val="24"/>
                <w:lang w:eastAsia="zh-CN"/>
              </w:rPr>
            </w:pPr>
          </w:p>
        </w:tc>
      </w:tr>
    </w:tbl>
    <w:p>
      <w:pPr>
        <w:spacing w:line="360" w:lineRule="auto"/>
        <w:rPr>
          <w:rFonts w:hint="default" w:ascii="Times New Roman" w:hAnsi="Times New Roman" w:cs="Times New Roman"/>
          <w:b/>
          <w:bCs/>
          <w:color w:val="auto"/>
          <w:sz w:val="24"/>
          <w:szCs w:val="24"/>
          <w:lang w:eastAsia="zh-CN"/>
        </w:rPr>
      </w:pPr>
      <w:r>
        <w:rPr>
          <w:rFonts w:hint="default" w:ascii="Times New Roman" w:hAnsi="Times New Roman" w:cs="Times New Roman"/>
          <w:b/>
          <w:bCs/>
          <w:color w:val="0000FF"/>
          <w:sz w:val="24"/>
          <w:szCs w:val="24"/>
          <w:lang w:eastAsia="zh-CN"/>
        </w:rPr>
        <w:br w:type="page"/>
      </w:r>
      <w:r>
        <w:rPr>
          <w:rFonts w:hint="default" w:ascii="Times New Roman" w:hAnsi="Times New Roman" w:cs="Times New Roman"/>
          <w:b/>
          <w:bCs/>
          <w:color w:val="auto"/>
          <w:sz w:val="24"/>
          <w:szCs w:val="24"/>
          <w:lang w:eastAsia="zh-CN"/>
        </w:rPr>
        <w:t>表八、质量保证及质量控制</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24" w:hRule="atLeast"/>
        </w:trPr>
        <w:tc>
          <w:tcPr>
            <w:tcW w:w="5000" w:type="pct"/>
          </w:tcPr>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8.1 监测分析方法及仪器</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监测分析方法及仪器设备见</w:t>
            </w:r>
            <w:r>
              <w:rPr>
                <w:rFonts w:hint="eastAsia" w:cs="Times New Roman"/>
                <w:color w:val="auto"/>
                <w:sz w:val="24"/>
                <w:szCs w:val="24"/>
                <w:lang w:val="en-US" w:eastAsia="zh-CN"/>
              </w:rPr>
              <w:t>下</w:t>
            </w:r>
            <w:r>
              <w:rPr>
                <w:rFonts w:hint="default" w:ascii="Times New Roman" w:hAnsi="Times New Roman" w:cs="Times New Roman"/>
                <w:color w:val="auto"/>
                <w:sz w:val="24"/>
                <w:szCs w:val="24"/>
                <w:lang w:eastAsia="zh-CN"/>
              </w:rPr>
              <w:t>表。</w:t>
            </w:r>
          </w:p>
          <w:p>
            <w:pPr>
              <w:tabs>
                <w:tab w:val="left" w:pos="7260"/>
              </w:tabs>
              <w:spacing w:line="240" w:lineRule="auto"/>
              <w:jc w:val="center"/>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表</w:t>
            </w:r>
            <w:r>
              <w:rPr>
                <w:rFonts w:hint="eastAsia" w:cs="Times New Roman"/>
                <w:b/>
                <w:bCs/>
                <w:color w:val="auto"/>
                <w:sz w:val="24"/>
                <w:lang w:val="en-US" w:eastAsia="zh-CN"/>
              </w:rPr>
              <w:t>8-1</w:t>
            </w:r>
            <w:r>
              <w:rPr>
                <w:rFonts w:hint="default" w:ascii="Times New Roman" w:hAnsi="Times New Roman" w:cs="Times New Roman"/>
                <w:b/>
                <w:bCs/>
                <w:color w:val="auto"/>
                <w:sz w:val="24"/>
                <w:lang w:eastAsia="zh-CN"/>
              </w:rPr>
              <w:t xml:space="preserve">  监测分析方法及仪器设备一览表</w:t>
            </w:r>
          </w:p>
          <w:tbl>
            <w:tblPr>
              <w:tblStyle w:val="19"/>
              <w:tblW w:w="501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1433"/>
              <w:gridCol w:w="2436"/>
              <w:gridCol w:w="1289"/>
              <w:gridCol w:w="26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pct"/>
                  <w:tcBorders>
                    <w:tl2br w:val="nil"/>
                    <w:tr2bl w:val="nil"/>
                  </w:tcBorders>
                  <w:tcMar>
                    <w:left w:w="57" w:type="dxa"/>
                    <w:right w:w="57" w:type="dxa"/>
                  </w:tcMar>
                  <w:vAlign w:val="center"/>
                </w:tcPr>
                <w:p>
                  <w:pPr>
                    <w:snapToGrid w:val="0"/>
                    <w:spacing w:line="240" w:lineRule="auto"/>
                    <w:jc w:val="center"/>
                    <w:rPr>
                      <w:color w:val="000000"/>
                      <w:sz w:val="21"/>
                      <w:szCs w:val="21"/>
                    </w:rPr>
                  </w:pPr>
                  <w:r>
                    <w:rPr>
                      <w:color w:val="000000"/>
                      <w:sz w:val="21"/>
                      <w:szCs w:val="21"/>
                    </w:rPr>
                    <w:t>监测类别</w:t>
                  </w:r>
                </w:p>
              </w:tc>
              <w:tc>
                <w:tcPr>
                  <w:tcW w:w="795" w:type="pct"/>
                  <w:tcBorders>
                    <w:tl2br w:val="nil"/>
                    <w:tr2bl w:val="nil"/>
                  </w:tcBorders>
                  <w:tcMar>
                    <w:left w:w="57" w:type="dxa"/>
                    <w:right w:w="57" w:type="dxa"/>
                  </w:tcMar>
                  <w:vAlign w:val="center"/>
                </w:tcPr>
                <w:p>
                  <w:pPr>
                    <w:snapToGrid w:val="0"/>
                    <w:spacing w:line="240" w:lineRule="auto"/>
                    <w:jc w:val="center"/>
                    <w:rPr>
                      <w:color w:val="000000"/>
                      <w:sz w:val="21"/>
                      <w:szCs w:val="21"/>
                    </w:rPr>
                  </w:pPr>
                  <w:r>
                    <w:rPr>
                      <w:color w:val="000000"/>
                      <w:sz w:val="21"/>
                      <w:szCs w:val="21"/>
                    </w:rPr>
                    <w:t>监测项目</w:t>
                  </w:r>
                </w:p>
              </w:tc>
              <w:tc>
                <w:tcPr>
                  <w:tcW w:w="1351" w:type="pct"/>
                  <w:tcBorders>
                    <w:tl2br w:val="nil"/>
                    <w:tr2bl w:val="nil"/>
                  </w:tcBorders>
                  <w:tcMar>
                    <w:left w:w="57" w:type="dxa"/>
                    <w:right w:w="57" w:type="dxa"/>
                  </w:tcMar>
                  <w:vAlign w:val="center"/>
                </w:tcPr>
                <w:p>
                  <w:pPr>
                    <w:snapToGrid w:val="0"/>
                    <w:spacing w:line="240" w:lineRule="auto"/>
                    <w:jc w:val="center"/>
                    <w:rPr>
                      <w:color w:val="000000"/>
                      <w:sz w:val="21"/>
                      <w:szCs w:val="21"/>
                    </w:rPr>
                  </w:pPr>
                  <w:r>
                    <w:rPr>
                      <w:color w:val="000000"/>
                      <w:sz w:val="21"/>
                      <w:szCs w:val="21"/>
                    </w:rPr>
                    <w:t>分析方法名称及依据</w:t>
                  </w:r>
                </w:p>
              </w:tc>
              <w:tc>
                <w:tcPr>
                  <w:tcW w:w="715" w:type="pct"/>
                  <w:tcBorders>
                    <w:tl2br w:val="nil"/>
                    <w:tr2bl w:val="nil"/>
                  </w:tcBorders>
                  <w:tcMar>
                    <w:left w:w="57" w:type="dxa"/>
                    <w:right w:w="57" w:type="dxa"/>
                  </w:tcMar>
                  <w:vAlign w:val="center"/>
                </w:tcPr>
                <w:p>
                  <w:pPr>
                    <w:snapToGrid w:val="0"/>
                    <w:spacing w:line="240" w:lineRule="auto"/>
                    <w:jc w:val="center"/>
                    <w:rPr>
                      <w:color w:val="000000"/>
                      <w:sz w:val="21"/>
                      <w:szCs w:val="21"/>
                    </w:rPr>
                  </w:pPr>
                  <w:r>
                    <w:rPr>
                      <w:color w:val="000000"/>
                      <w:sz w:val="21"/>
                      <w:szCs w:val="21"/>
                    </w:rPr>
                    <w:t>方法检出限</w:t>
                  </w:r>
                </w:p>
              </w:tc>
              <w:tc>
                <w:tcPr>
                  <w:tcW w:w="1467" w:type="pct"/>
                  <w:tcBorders>
                    <w:tl2br w:val="nil"/>
                    <w:tr2bl w:val="nil"/>
                  </w:tcBorders>
                  <w:tcMar>
                    <w:left w:w="57" w:type="dxa"/>
                    <w:right w:w="57" w:type="dxa"/>
                  </w:tcMar>
                  <w:vAlign w:val="center"/>
                </w:tcPr>
                <w:p>
                  <w:pPr>
                    <w:snapToGrid w:val="0"/>
                    <w:spacing w:line="240" w:lineRule="auto"/>
                    <w:jc w:val="center"/>
                    <w:rPr>
                      <w:color w:val="000000"/>
                      <w:sz w:val="21"/>
                      <w:szCs w:val="21"/>
                    </w:rPr>
                  </w:pPr>
                  <w:r>
                    <w:rPr>
                      <w:color w:val="000000"/>
                      <w:sz w:val="21"/>
                      <w:szCs w:val="21"/>
                    </w:rPr>
                    <w:t>仪器名称型号及编号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6" w:type="dxa"/>
                  <w:tcBorders>
                    <w:tl2br w:val="nil"/>
                    <w:tr2bl w:val="nil"/>
                  </w:tcBorders>
                  <w:tcMar>
                    <w:left w:w="57" w:type="dxa"/>
                    <w:right w:w="57" w:type="dxa"/>
                  </w:tcMar>
                  <w:vAlign w:val="center"/>
                </w:tcPr>
                <w:p>
                  <w:pPr>
                    <w:jc w:val="center"/>
                    <w:rPr>
                      <w:rFonts w:hint="eastAsia"/>
                      <w:sz w:val="21"/>
                      <w:szCs w:val="21"/>
                    </w:rPr>
                  </w:pPr>
                  <w:r>
                    <w:rPr>
                      <w:rFonts w:hint="eastAsia"/>
                      <w:sz w:val="21"/>
                      <w:szCs w:val="21"/>
                    </w:rPr>
                    <w:t>有组织废气</w:t>
                  </w:r>
                </w:p>
              </w:tc>
              <w:tc>
                <w:tcPr>
                  <w:tcW w:w="1486" w:type="dxa"/>
                  <w:tcBorders>
                    <w:tl2br w:val="nil"/>
                    <w:tr2bl w:val="nil"/>
                  </w:tcBorders>
                  <w:tcMar>
                    <w:left w:w="57" w:type="dxa"/>
                    <w:right w:w="57" w:type="dxa"/>
                  </w:tcMar>
                  <w:vAlign w:val="center"/>
                </w:tcPr>
                <w:p>
                  <w:pPr>
                    <w:adjustRightInd/>
                    <w:spacing w:line="240" w:lineRule="auto"/>
                    <w:jc w:val="center"/>
                    <w:textAlignment w:val="auto"/>
                    <w:rPr>
                      <w:sz w:val="21"/>
                      <w:szCs w:val="21"/>
                    </w:rPr>
                  </w:pPr>
                  <w:r>
                    <w:rPr>
                      <w:sz w:val="21"/>
                      <w:szCs w:val="21"/>
                    </w:rPr>
                    <w:t>VOCs</w:t>
                  </w:r>
                  <w:r>
                    <w:rPr>
                      <w:rFonts w:hint="eastAsia"/>
                      <w:bCs/>
                      <w:sz w:val="21"/>
                      <w:szCs w:val="21"/>
                    </w:rPr>
                    <w:t>（以非甲烷总烃计）</w:t>
                  </w:r>
                </w:p>
              </w:tc>
              <w:tc>
                <w:tcPr>
                  <w:tcW w:w="2526" w:type="dxa"/>
                  <w:tcBorders>
                    <w:tl2br w:val="nil"/>
                    <w:tr2bl w:val="nil"/>
                  </w:tcBorders>
                  <w:tcMar>
                    <w:left w:w="57" w:type="dxa"/>
                    <w:right w:w="57" w:type="dxa"/>
                  </w:tcMar>
                  <w:vAlign w:val="center"/>
                </w:tcPr>
                <w:p>
                  <w:pPr>
                    <w:spacing w:line="240" w:lineRule="auto"/>
                    <w:jc w:val="center"/>
                    <w:rPr>
                      <w:sz w:val="21"/>
                      <w:szCs w:val="21"/>
                    </w:rPr>
                  </w:pPr>
                  <w:r>
                    <w:rPr>
                      <w:rFonts w:hint="eastAsia"/>
                      <w:sz w:val="21"/>
                      <w:szCs w:val="21"/>
                    </w:rPr>
                    <w:t>HJ</w:t>
                  </w:r>
                  <w:r>
                    <w:rPr>
                      <w:sz w:val="21"/>
                      <w:szCs w:val="21"/>
                    </w:rPr>
                    <w:t xml:space="preserve"> </w:t>
                  </w:r>
                  <w:r>
                    <w:rPr>
                      <w:rFonts w:hint="eastAsia"/>
                      <w:sz w:val="21"/>
                      <w:szCs w:val="21"/>
                    </w:rPr>
                    <w:t>38-2017</w:t>
                  </w:r>
                </w:p>
                <w:p>
                  <w:pPr>
                    <w:snapToGrid w:val="0"/>
                    <w:spacing w:line="240" w:lineRule="auto"/>
                    <w:jc w:val="center"/>
                    <w:rPr>
                      <w:rFonts w:hint="eastAsia"/>
                      <w:sz w:val="21"/>
                      <w:szCs w:val="21"/>
                    </w:rPr>
                  </w:pPr>
                  <w:r>
                    <w:rPr>
                      <w:rFonts w:hint="eastAsia"/>
                      <w:sz w:val="21"/>
                      <w:szCs w:val="21"/>
                    </w:rPr>
                    <w:t>固定污染源废气 总烃、甲烷和非甲烷总烃的测定 气相色谱法</w:t>
                  </w:r>
                </w:p>
              </w:tc>
              <w:tc>
                <w:tcPr>
                  <w:tcW w:w="1337" w:type="dxa"/>
                  <w:tcBorders>
                    <w:tl2br w:val="nil"/>
                    <w:tr2bl w:val="nil"/>
                  </w:tcBorders>
                  <w:tcMar>
                    <w:left w:w="57" w:type="dxa"/>
                    <w:right w:w="57" w:type="dxa"/>
                  </w:tcMar>
                  <w:vAlign w:val="center"/>
                </w:tcPr>
                <w:p>
                  <w:pPr>
                    <w:snapToGrid w:val="0"/>
                    <w:spacing w:line="240" w:lineRule="auto"/>
                    <w:jc w:val="center"/>
                    <w:rPr>
                      <w:rFonts w:hint="eastAsia"/>
                      <w:sz w:val="21"/>
                      <w:szCs w:val="21"/>
                    </w:rPr>
                  </w:pPr>
                  <w:r>
                    <w:rPr>
                      <w:rFonts w:hint="eastAsia"/>
                      <w:sz w:val="21"/>
                      <w:szCs w:val="21"/>
                    </w:rPr>
                    <w:t>0.07mg/m</w:t>
                  </w:r>
                  <w:r>
                    <w:rPr>
                      <w:rFonts w:hint="eastAsia"/>
                      <w:sz w:val="21"/>
                      <w:szCs w:val="21"/>
                      <w:vertAlign w:val="superscript"/>
                    </w:rPr>
                    <w:t>3</w:t>
                  </w:r>
                </w:p>
              </w:tc>
              <w:tc>
                <w:tcPr>
                  <w:tcW w:w="2742" w:type="dxa"/>
                  <w:tcBorders>
                    <w:tl2br w:val="nil"/>
                    <w:tr2bl w:val="nil"/>
                  </w:tcBorders>
                  <w:tcMar>
                    <w:left w:w="57" w:type="dxa"/>
                    <w:right w:w="57" w:type="dxa"/>
                  </w:tcMar>
                  <w:vAlign w:val="center"/>
                </w:tcPr>
                <w:p>
                  <w:pPr>
                    <w:snapToGrid w:val="0"/>
                    <w:spacing w:line="240" w:lineRule="auto"/>
                    <w:jc w:val="center"/>
                    <w:rPr>
                      <w:sz w:val="21"/>
                      <w:szCs w:val="21"/>
                    </w:rPr>
                  </w:pPr>
                  <w:r>
                    <w:rPr>
                      <w:rFonts w:hint="eastAsia"/>
                      <w:sz w:val="21"/>
                      <w:szCs w:val="21"/>
                    </w:rPr>
                    <w:t>YQ3000-D大流量烟尘（气）测试仪（</w:t>
                  </w:r>
                  <w:r>
                    <w:rPr>
                      <w:sz w:val="21"/>
                      <w:szCs w:val="21"/>
                    </w:rPr>
                    <w:t>GY-IE-124</w:t>
                  </w:r>
                  <w:r>
                    <w:rPr>
                      <w:rFonts w:hint="eastAsia"/>
                      <w:sz w:val="21"/>
                      <w:szCs w:val="21"/>
                    </w:rPr>
                    <w:t>）</w:t>
                  </w:r>
                </w:p>
                <w:p>
                  <w:pPr>
                    <w:snapToGrid w:val="0"/>
                    <w:spacing w:line="240" w:lineRule="auto"/>
                    <w:jc w:val="center"/>
                    <w:rPr>
                      <w:sz w:val="21"/>
                      <w:szCs w:val="21"/>
                    </w:rPr>
                  </w:pPr>
                  <w:r>
                    <w:rPr>
                      <w:rFonts w:hint="eastAsia"/>
                      <w:sz w:val="21"/>
                      <w:szCs w:val="21"/>
                    </w:rPr>
                    <w:t>MH3051污染源真空采样器（GY-IE-143）</w:t>
                  </w:r>
                </w:p>
                <w:p>
                  <w:pPr>
                    <w:snapToGrid w:val="0"/>
                    <w:spacing w:line="240" w:lineRule="auto"/>
                    <w:jc w:val="center"/>
                    <w:rPr>
                      <w:sz w:val="21"/>
                      <w:szCs w:val="21"/>
                    </w:rPr>
                  </w:pPr>
                  <w:r>
                    <w:rPr>
                      <w:sz w:val="21"/>
                      <w:szCs w:val="21"/>
                    </w:rPr>
                    <w:t>Agilent</w:t>
                  </w:r>
                  <w:r>
                    <w:rPr>
                      <w:rFonts w:hint="eastAsia"/>
                      <w:sz w:val="21"/>
                      <w:szCs w:val="21"/>
                    </w:rPr>
                    <w:t>气相色谱分析仪（</w:t>
                  </w:r>
                  <w:r>
                    <w:rPr>
                      <w:sz w:val="21"/>
                      <w:szCs w:val="21"/>
                    </w:rPr>
                    <w:t>GY-IE-037</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pct"/>
                  <w:tcBorders>
                    <w:tl2br w:val="nil"/>
                    <w:tr2bl w:val="nil"/>
                  </w:tcBorders>
                  <w:tcMar>
                    <w:left w:w="57" w:type="dxa"/>
                    <w:right w:w="57" w:type="dxa"/>
                  </w:tcMar>
                  <w:vAlign w:val="center"/>
                </w:tcPr>
                <w:p>
                  <w:pPr>
                    <w:jc w:val="center"/>
                    <w:rPr>
                      <w:sz w:val="21"/>
                      <w:szCs w:val="21"/>
                    </w:rPr>
                  </w:pPr>
                  <w:r>
                    <w:rPr>
                      <w:rFonts w:hint="eastAsia"/>
                      <w:sz w:val="21"/>
                      <w:szCs w:val="21"/>
                    </w:rPr>
                    <w:t>无组织废气</w:t>
                  </w:r>
                </w:p>
              </w:tc>
              <w:tc>
                <w:tcPr>
                  <w:tcW w:w="795" w:type="pct"/>
                  <w:tcBorders>
                    <w:tl2br w:val="nil"/>
                    <w:tr2bl w:val="nil"/>
                  </w:tcBorders>
                  <w:tcMar>
                    <w:left w:w="57" w:type="dxa"/>
                    <w:right w:w="57" w:type="dxa"/>
                  </w:tcMar>
                  <w:vAlign w:val="center"/>
                </w:tcPr>
                <w:p>
                  <w:pPr>
                    <w:jc w:val="center"/>
                    <w:rPr>
                      <w:sz w:val="21"/>
                      <w:szCs w:val="21"/>
                    </w:rPr>
                  </w:pPr>
                  <w:r>
                    <w:rPr>
                      <w:sz w:val="21"/>
                      <w:szCs w:val="21"/>
                    </w:rPr>
                    <w:t>VOCs</w:t>
                  </w:r>
                  <w:r>
                    <w:rPr>
                      <w:rFonts w:hint="eastAsia"/>
                      <w:bCs/>
                      <w:sz w:val="21"/>
                      <w:szCs w:val="21"/>
                    </w:rPr>
                    <w:t>（以非甲烷总烃计）</w:t>
                  </w:r>
                </w:p>
              </w:tc>
              <w:tc>
                <w:tcPr>
                  <w:tcW w:w="1351" w:type="pct"/>
                  <w:tcBorders>
                    <w:tl2br w:val="nil"/>
                    <w:tr2bl w:val="nil"/>
                  </w:tcBorders>
                  <w:tcMar>
                    <w:left w:w="57" w:type="dxa"/>
                    <w:right w:w="57" w:type="dxa"/>
                  </w:tcMar>
                  <w:vAlign w:val="center"/>
                </w:tcPr>
                <w:p>
                  <w:pPr>
                    <w:spacing w:line="240" w:lineRule="auto"/>
                    <w:jc w:val="center"/>
                    <w:rPr>
                      <w:sz w:val="21"/>
                      <w:szCs w:val="21"/>
                    </w:rPr>
                  </w:pPr>
                  <w:r>
                    <w:rPr>
                      <w:sz w:val="21"/>
                      <w:szCs w:val="21"/>
                    </w:rPr>
                    <w:t>HJ 604-2017</w:t>
                  </w:r>
                </w:p>
                <w:p>
                  <w:pPr>
                    <w:spacing w:line="240" w:lineRule="auto"/>
                    <w:jc w:val="center"/>
                    <w:rPr>
                      <w:sz w:val="21"/>
                      <w:szCs w:val="21"/>
                    </w:rPr>
                  </w:pPr>
                  <w:r>
                    <w:rPr>
                      <w:rFonts w:hint="eastAsia"/>
                      <w:sz w:val="21"/>
                      <w:szCs w:val="21"/>
                    </w:rPr>
                    <w:t>环境空气 总烃、甲烷和非甲烷总烃的测定 直接进样-气相色谱法</w:t>
                  </w:r>
                </w:p>
              </w:tc>
              <w:tc>
                <w:tcPr>
                  <w:tcW w:w="715" w:type="pct"/>
                  <w:tcBorders>
                    <w:tl2br w:val="nil"/>
                    <w:tr2bl w:val="nil"/>
                  </w:tcBorders>
                  <w:tcMar>
                    <w:left w:w="57" w:type="dxa"/>
                    <w:right w:w="57" w:type="dxa"/>
                  </w:tcMar>
                  <w:vAlign w:val="center"/>
                </w:tcPr>
                <w:p>
                  <w:pPr>
                    <w:spacing w:line="240" w:lineRule="auto"/>
                    <w:jc w:val="center"/>
                    <w:rPr>
                      <w:sz w:val="21"/>
                      <w:szCs w:val="21"/>
                    </w:rPr>
                  </w:pPr>
                  <w:r>
                    <w:rPr>
                      <w:rFonts w:hint="eastAsia"/>
                      <w:sz w:val="21"/>
                      <w:szCs w:val="21"/>
                    </w:rPr>
                    <w:t>0.07mg/m</w:t>
                  </w:r>
                  <w:r>
                    <w:rPr>
                      <w:rFonts w:hint="eastAsia"/>
                      <w:sz w:val="21"/>
                      <w:szCs w:val="21"/>
                      <w:vertAlign w:val="superscript"/>
                    </w:rPr>
                    <w:t>3</w:t>
                  </w:r>
                </w:p>
              </w:tc>
              <w:tc>
                <w:tcPr>
                  <w:tcW w:w="1467" w:type="pct"/>
                  <w:tcBorders>
                    <w:tl2br w:val="nil"/>
                    <w:tr2bl w:val="nil"/>
                  </w:tcBorders>
                  <w:tcMar>
                    <w:left w:w="57" w:type="dxa"/>
                    <w:right w:w="57" w:type="dxa"/>
                  </w:tcMar>
                  <w:vAlign w:val="center"/>
                </w:tcPr>
                <w:p>
                  <w:pPr>
                    <w:spacing w:line="240" w:lineRule="auto"/>
                    <w:ind w:right="113"/>
                    <w:jc w:val="center"/>
                    <w:rPr>
                      <w:sz w:val="21"/>
                      <w:szCs w:val="21"/>
                    </w:rPr>
                  </w:pPr>
                  <w:r>
                    <w:rPr>
                      <w:rFonts w:hint="eastAsia"/>
                      <w:sz w:val="21"/>
                      <w:szCs w:val="21"/>
                    </w:rPr>
                    <w:t>MH3051污染源真空采样器（GY-IE-141）</w:t>
                  </w:r>
                </w:p>
                <w:p>
                  <w:pPr>
                    <w:spacing w:line="240" w:lineRule="auto"/>
                    <w:ind w:right="113"/>
                    <w:jc w:val="center"/>
                    <w:rPr>
                      <w:sz w:val="21"/>
                      <w:szCs w:val="21"/>
                    </w:rPr>
                  </w:pPr>
                  <w:r>
                    <w:rPr>
                      <w:sz w:val="21"/>
                      <w:szCs w:val="21"/>
                    </w:rPr>
                    <w:t>Agilent</w:t>
                  </w:r>
                  <w:r>
                    <w:rPr>
                      <w:rFonts w:hint="eastAsia"/>
                      <w:sz w:val="21"/>
                      <w:szCs w:val="21"/>
                    </w:rPr>
                    <w:t>气相色谱分析仪（</w:t>
                  </w:r>
                  <w:r>
                    <w:rPr>
                      <w:sz w:val="21"/>
                      <w:szCs w:val="21"/>
                    </w:rPr>
                    <w:t>GY-IE-037</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pct"/>
                  <w:vMerge w:val="restart"/>
                  <w:tcBorders>
                    <w:tl2br w:val="nil"/>
                    <w:tr2bl w:val="nil"/>
                  </w:tcBorders>
                  <w:tcMar>
                    <w:left w:w="57" w:type="dxa"/>
                    <w:right w:w="57" w:type="dxa"/>
                  </w:tcMar>
                  <w:vAlign w:val="center"/>
                </w:tcPr>
                <w:p>
                  <w:pPr>
                    <w:jc w:val="center"/>
                    <w:rPr>
                      <w:rFonts w:hint="eastAsia"/>
                      <w:sz w:val="21"/>
                      <w:szCs w:val="21"/>
                    </w:rPr>
                  </w:pPr>
                  <w:r>
                    <w:rPr>
                      <w:rFonts w:hint="eastAsia"/>
                      <w:sz w:val="21"/>
                      <w:szCs w:val="21"/>
                    </w:rPr>
                    <w:t>污水</w:t>
                  </w:r>
                </w:p>
              </w:tc>
              <w:tc>
                <w:tcPr>
                  <w:tcW w:w="795" w:type="pct"/>
                  <w:tcBorders>
                    <w:tl2br w:val="nil"/>
                    <w:tr2bl w:val="nil"/>
                  </w:tcBorders>
                  <w:tcMar>
                    <w:left w:w="57" w:type="dxa"/>
                    <w:right w:w="57" w:type="dxa"/>
                  </w:tcMar>
                  <w:vAlign w:val="center"/>
                </w:tcPr>
                <w:p>
                  <w:pPr>
                    <w:adjustRightInd/>
                    <w:spacing w:line="240" w:lineRule="auto"/>
                    <w:jc w:val="center"/>
                    <w:textAlignment w:val="auto"/>
                    <w:rPr>
                      <w:bCs/>
                      <w:color w:val="000000"/>
                      <w:sz w:val="21"/>
                      <w:szCs w:val="21"/>
                    </w:rPr>
                  </w:pPr>
                  <w:r>
                    <w:rPr>
                      <w:rFonts w:hint="eastAsia"/>
                      <w:bCs/>
                      <w:color w:val="000000"/>
                      <w:sz w:val="21"/>
                      <w:szCs w:val="21"/>
                    </w:rPr>
                    <w:t>pH值</w:t>
                  </w:r>
                </w:p>
              </w:tc>
              <w:tc>
                <w:tcPr>
                  <w:tcW w:w="1351" w:type="pct"/>
                  <w:tcBorders>
                    <w:tl2br w:val="nil"/>
                    <w:tr2bl w:val="nil"/>
                  </w:tcBorders>
                  <w:tcMar>
                    <w:left w:w="57" w:type="dxa"/>
                    <w:right w:w="57" w:type="dxa"/>
                  </w:tcMar>
                  <w:vAlign w:val="center"/>
                </w:tcPr>
                <w:p>
                  <w:pPr>
                    <w:adjustRightInd/>
                    <w:spacing w:line="240" w:lineRule="auto"/>
                    <w:jc w:val="center"/>
                    <w:textAlignment w:val="auto"/>
                    <w:rPr>
                      <w:bCs/>
                      <w:color w:val="000000"/>
                      <w:sz w:val="21"/>
                      <w:szCs w:val="21"/>
                    </w:rPr>
                  </w:pPr>
                  <w:r>
                    <w:rPr>
                      <w:rFonts w:hint="eastAsia"/>
                      <w:bCs/>
                      <w:color w:val="000000"/>
                      <w:sz w:val="21"/>
                      <w:szCs w:val="21"/>
                    </w:rPr>
                    <w:t>HJ 1147-2020</w:t>
                  </w:r>
                </w:p>
                <w:p>
                  <w:pPr>
                    <w:adjustRightInd/>
                    <w:spacing w:line="240" w:lineRule="auto"/>
                    <w:jc w:val="center"/>
                    <w:textAlignment w:val="auto"/>
                    <w:rPr>
                      <w:bCs/>
                      <w:color w:val="000000"/>
                      <w:sz w:val="21"/>
                      <w:szCs w:val="21"/>
                    </w:rPr>
                  </w:pPr>
                  <w:r>
                    <w:rPr>
                      <w:rFonts w:hint="eastAsia"/>
                      <w:bCs/>
                      <w:color w:val="000000"/>
                      <w:sz w:val="21"/>
                      <w:szCs w:val="21"/>
                    </w:rPr>
                    <w:t>水质 pH值的测 定电极法</w:t>
                  </w:r>
                </w:p>
              </w:tc>
              <w:tc>
                <w:tcPr>
                  <w:tcW w:w="715" w:type="pct"/>
                  <w:tcBorders>
                    <w:tl2br w:val="nil"/>
                    <w:tr2bl w:val="nil"/>
                  </w:tcBorders>
                  <w:tcMar>
                    <w:left w:w="57" w:type="dxa"/>
                    <w:right w:w="57" w:type="dxa"/>
                  </w:tcMar>
                  <w:vAlign w:val="center"/>
                </w:tcPr>
                <w:p>
                  <w:pPr>
                    <w:snapToGrid w:val="0"/>
                    <w:spacing w:line="240" w:lineRule="auto"/>
                    <w:jc w:val="center"/>
                    <w:rPr>
                      <w:color w:val="000000"/>
                      <w:sz w:val="21"/>
                      <w:szCs w:val="21"/>
                    </w:rPr>
                  </w:pPr>
                  <w:r>
                    <w:rPr>
                      <w:rFonts w:hint="eastAsia"/>
                      <w:color w:val="000000"/>
                      <w:sz w:val="21"/>
                      <w:szCs w:val="21"/>
                    </w:rPr>
                    <w:t>—</w:t>
                  </w:r>
                </w:p>
              </w:tc>
              <w:tc>
                <w:tcPr>
                  <w:tcW w:w="1467" w:type="pct"/>
                  <w:tcBorders>
                    <w:tl2br w:val="nil"/>
                    <w:tr2bl w:val="nil"/>
                  </w:tcBorders>
                  <w:tcMar>
                    <w:left w:w="57" w:type="dxa"/>
                    <w:right w:w="57" w:type="dxa"/>
                  </w:tcMar>
                  <w:vAlign w:val="center"/>
                </w:tcPr>
                <w:p>
                  <w:pPr>
                    <w:snapToGrid w:val="0"/>
                    <w:spacing w:line="240" w:lineRule="auto"/>
                    <w:jc w:val="center"/>
                    <w:rPr>
                      <w:sz w:val="21"/>
                      <w:szCs w:val="21"/>
                    </w:rPr>
                  </w:pPr>
                  <w:r>
                    <w:rPr>
                      <w:rFonts w:hint="eastAsia"/>
                      <w:sz w:val="21"/>
                      <w:szCs w:val="21"/>
                    </w:rPr>
                    <w:t>F2型便携式pH计</w:t>
                  </w:r>
                </w:p>
                <w:p>
                  <w:pPr>
                    <w:snapToGrid w:val="0"/>
                    <w:spacing w:line="240" w:lineRule="auto"/>
                    <w:jc w:val="center"/>
                    <w:rPr>
                      <w:sz w:val="21"/>
                      <w:szCs w:val="21"/>
                    </w:rPr>
                  </w:pPr>
                  <w:r>
                    <w:rPr>
                      <w:rFonts w:hint="eastAsia"/>
                      <w:sz w:val="21"/>
                      <w:szCs w:val="21"/>
                    </w:rPr>
                    <w:t>（GY-IE-023）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pct"/>
                  <w:vMerge w:val="continue"/>
                  <w:tcBorders>
                    <w:tl2br w:val="nil"/>
                    <w:tr2bl w:val="nil"/>
                  </w:tcBorders>
                  <w:tcMar>
                    <w:left w:w="57" w:type="dxa"/>
                    <w:right w:w="57" w:type="dxa"/>
                  </w:tcMar>
                  <w:vAlign w:val="center"/>
                </w:tcPr>
                <w:p>
                  <w:pPr>
                    <w:jc w:val="center"/>
                    <w:rPr>
                      <w:rFonts w:hint="eastAsia"/>
                      <w:sz w:val="21"/>
                      <w:szCs w:val="21"/>
                    </w:rPr>
                  </w:pPr>
                </w:p>
              </w:tc>
              <w:tc>
                <w:tcPr>
                  <w:tcW w:w="795" w:type="pct"/>
                  <w:tcBorders>
                    <w:tl2br w:val="nil"/>
                    <w:tr2bl w:val="nil"/>
                  </w:tcBorders>
                  <w:tcMar>
                    <w:left w:w="57" w:type="dxa"/>
                    <w:right w:w="57" w:type="dxa"/>
                  </w:tcMar>
                  <w:vAlign w:val="center"/>
                </w:tcPr>
                <w:p>
                  <w:pPr>
                    <w:jc w:val="center"/>
                    <w:rPr>
                      <w:sz w:val="21"/>
                      <w:szCs w:val="21"/>
                    </w:rPr>
                  </w:pPr>
                  <w:r>
                    <w:rPr>
                      <w:rFonts w:hint="eastAsia"/>
                      <w:sz w:val="21"/>
                      <w:szCs w:val="21"/>
                    </w:rPr>
                    <w:t>悬浮物</w:t>
                  </w:r>
                </w:p>
              </w:tc>
              <w:tc>
                <w:tcPr>
                  <w:tcW w:w="1351" w:type="pct"/>
                  <w:tcBorders>
                    <w:tl2br w:val="nil"/>
                    <w:tr2bl w:val="nil"/>
                  </w:tcBorders>
                  <w:tcMar>
                    <w:left w:w="57" w:type="dxa"/>
                    <w:right w:w="57" w:type="dxa"/>
                  </w:tcMar>
                  <w:vAlign w:val="center"/>
                </w:tcPr>
                <w:p>
                  <w:pPr>
                    <w:spacing w:line="240" w:lineRule="auto"/>
                    <w:jc w:val="center"/>
                    <w:rPr>
                      <w:sz w:val="21"/>
                      <w:szCs w:val="21"/>
                    </w:rPr>
                  </w:pPr>
                  <w:r>
                    <w:rPr>
                      <w:rFonts w:hint="eastAsia"/>
                      <w:sz w:val="21"/>
                      <w:szCs w:val="21"/>
                    </w:rPr>
                    <w:t>GB/T 11901-1989</w:t>
                  </w:r>
                </w:p>
                <w:p>
                  <w:pPr>
                    <w:spacing w:line="240" w:lineRule="auto"/>
                    <w:jc w:val="center"/>
                    <w:rPr>
                      <w:sz w:val="21"/>
                      <w:szCs w:val="21"/>
                    </w:rPr>
                  </w:pPr>
                  <w:r>
                    <w:rPr>
                      <w:rFonts w:hint="eastAsia"/>
                      <w:sz w:val="21"/>
                      <w:szCs w:val="21"/>
                    </w:rPr>
                    <w:t>水质 悬浮物的测定 重量法</w:t>
                  </w:r>
                </w:p>
              </w:tc>
              <w:tc>
                <w:tcPr>
                  <w:tcW w:w="715" w:type="pct"/>
                  <w:tcBorders>
                    <w:tl2br w:val="nil"/>
                    <w:tr2bl w:val="nil"/>
                  </w:tcBorders>
                  <w:tcMar>
                    <w:left w:w="57" w:type="dxa"/>
                    <w:right w:w="57" w:type="dxa"/>
                  </w:tcMar>
                  <w:vAlign w:val="center"/>
                </w:tcPr>
                <w:p>
                  <w:pPr>
                    <w:spacing w:line="240" w:lineRule="auto"/>
                    <w:jc w:val="center"/>
                    <w:rPr>
                      <w:sz w:val="21"/>
                      <w:szCs w:val="21"/>
                    </w:rPr>
                  </w:pPr>
                  <w:r>
                    <w:rPr>
                      <w:rFonts w:hint="eastAsia"/>
                      <w:sz w:val="21"/>
                      <w:szCs w:val="21"/>
                    </w:rPr>
                    <w:t>—</w:t>
                  </w:r>
                </w:p>
              </w:tc>
              <w:tc>
                <w:tcPr>
                  <w:tcW w:w="1467" w:type="pct"/>
                  <w:tcBorders>
                    <w:tl2br w:val="nil"/>
                    <w:tr2bl w:val="nil"/>
                  </w:tcBorders>
                  <w:tcMar>
                    <w:left w:w="57" w:type="dxa"/>
                    <w:right w:w="57" w:type="dxa"/>
                  </w:tcMar>
                  <w:vAlign w:val="center"/>
                </w:tcPr>
                <w:p>
                  <w:pPr>
                    <w:snapToGrid w:val="0"/>
                    <w:spacing w:line="300" w:lineRule="auto"/>
                    <w:ind w:right="113"/>
                    <w:jc w:val="center"/>
                    <w:rPr>
                      <w:bCs/>
                      <w:sz w:val="21"/>
                      <w:szCs w:val="21"/>
                    </w:rPr>
                  </w:pPr>
                  <w:r>
                    <w:rPr>
                      <w:rFonts w:hint="eastAsia"/>
                      <w:bCs/>
                      <w:sz w:val="21"/>
                      <w:szCs w:val="21"/>
                    </w:rPr>
                    <w:t>QUINTIX224-1CN电子天平（GY-IE-029）</w:t>
                  </w:r>
                </w:p>
                <w:p>
                  <w:pPr>
                    <w:jc w:val="center"/>
                    <w:rPr>
                      <w:sz w:val="22"/>
                      <w:szCs w:val="22"/>
                    </w:rPr>
                  </w:pPr>
                  <w:r>
                    <w:rPr>
                      <w:sz w:val="22"/>
                      <w:szCs w:val="22"/>
                    </w:rPr>
                    <w:t>YH-23</w:t>
                  </w:r>
                  <w:r>
                    <w:rPr>
                      <w:rFonts w:hint="eastAsia"/>
                      <w:sz w:val="22"/>
                      <w:szCs w:val="22"/>
                    </w:rPr>
                    <w:t>抽滤装置</w:t>
                  </w:r>
                </w:p>
                <w:p>
                  <w:pPr>
                    <w:jc w:val="center"/>
                    <w:rPr>
                      <w:sz w:val="22"/>
                      <w:szCs w:val="22"/>
                    </w:rPr>
                  </w:pPr>
                  <w:r>
                    <w:rPr>
                      <w:rFonts w:hint="eastAsia"/>
                      <w:sz w:val="22"/>
                      <w:szCs w:val="22"/>
                    </w:rPr>
                    <w:t>（GY-IE-098）</w:t>
                  </w:r>
                </w:p>
                <w:p>
                  <w:pPr>
                    <w:spacing w:line="300" w:lineRule="auto"/>
                    <w:jc w:val="center"/>
                    <w:rPr>
                      <w:sz w:val="22"/>
                      <w:szCs w:val="22"/>
                    </w:rPr>
                  </w:pPr>
                  <w:r>
                    <w:rPr>
                      <w:sz w:val="22"/>
                      <w:szCs w:val="22"/>
                    </w:rPr>
                    <w:t>101-1S</w:t>
                  </w:r>
                  <w:r>
                    <w:rPr>
                      <w:rFonts w:hint="eastAsia"/>
                      <w:sz w:val="22"/>
                      <w:szCs w:val="22"/>
                    </w:rPr>
                    <w:t>电热鼓风干燥箱</w:t>
                  </w:r>
                </w:p>
                <w:p>
                  <w:pPr>
                    <w:snapToGrid w:val="0"/>
                    <w:spacing w:line="240" w:lineRule="auto"/>
                    <w:jc w:val="center"/>
                    <w:rPr>
                      <w:sz w:val="21"/>
                      <w:szCs w:val="21"/>
                    </w:rPr>
                  </w:pPr>
                  <w:r>
                    <w:rPr>
                      <w:rFonts w:hint="eastAsia"/>
                      <w:sz w:val="22"/>
                      <w:szCs w:val="22"/>
                    </w:rPr>
                    <w:t>（</w:t>
                  </w:r>
                  <w:r>
                    <w:rPr>
                      <w:sz w:val="22"/>
                      <w:szCs w:val="22"/>
                    </w:rPr>
                    <w:t>GY-IE-013</w:t>
                  </w:r>
                  <w:r>
                    <w:rPr>
                      <w:rFonts w:hint="eastAsia"/>
                      <w:sz w:val="22"/>
                      <w:szCs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pct"/>
                  <w:vMerge w:val="continue"/>
                  <w:tcBorders>
                    <w:tl2br w:val="nil"/>
                    <w:tr2bl w:val="nil"/>
                  </w:tcBorders>
                  <w:tcMar>
                    <w:left w:w="57" w:type="dxa"/>
                    <w:right w:w="57" w:type="dxa"/>
                  </w:tcMar>
                  <w:vAlign w:val="center"/>
                </w:tcPr>
                <w:p>
                  <w:pPr>
                    <w:jc w:val="center"/>
                    <w:rPr>
                      <w:rFonts w:hint="eastAsia"/>
                      <w:sz w:val="21"/>
                      <w:szCs w:val="21"/>
                    </w:rPr>
                  </w:pPr>
                </w:p>
              </w:tc>
              <w:tc>
                <w:tcPr>
                  <w:tcW w:w="795" w:type="pct"/>
                  <w:tcBorders>
                    <w:tl2br w:val="nil"/>
                    <w:tr2bl w:val="nil"/>
                  </w:tcBorders>
                  <w:tcMar>
                    <w:left w:w="57" w:type="dxa"/>
                    <w:right w:w="57" w:type="dxa"/>
                  </w:tcMar>
                  <w:vAlign w:val="center"/>
                </w:tcPr>
                <w:p>
                  <w:pPr>
                    <w:jc w:val="center"/>
                    <w:rPr>
                      <w:sz w:val="21"/>
                      <w:szCs w:val="21"/>
                    </w:rPr>
                  </w:pPr>
                  <w:r>
                    <w:rPr>
                      <w:rFonts w:hint="eastAsia"/>
                      <w:sz w:val="21"/>
                      <w:szCs w:val="21"/>
                    </w:rPr>
                    <w:t>生化需氧量</w:t>
                  </w:r>
                </w:p>
              </w:tc>
              <w:tc>
                <w:tcPr>
                  <w:tcW w:w="1351" w:type="pct"/>
                  <w:tcBorders>
                    <w:tl2br w:val="nil"/>
                    <w:tr2bl w:val="nil"/>
                  </w:tcBorders>
                  <w:tcMar>
                    <w:left w:w="57" w:type="dxa"/>
                    <w:right w:w="57" w:type="dxa"/>
                  </w:tcMar>
                  <w:vAlign w:val="center"/>
                </w:tcPr>
                <w:p>
                  <w:pPr>
                    <w:spacing w:line="240" w:lineRule="auto"/>
                    <w:jc w:val="center"/>
                    <w:rPr>
                      <w:sz w:val="21"/>
                      <w:szCs w:val="21"/>
                    </w:rPr>
                  </w:pPr>
                  <w:r>
                    <w:rPr>
                      <w:rFonts w:hint="eastAsia"/>
                      <w:sz w:val="21"/>
                      <w:szCs w:val="21"/>
                    </w:rPr>
                    <w:t>HJ 505-2009</w:t>
                  </w:r>
                </w:p>
                <w:p>
                  <w:pPr>
                    <w:spacing w:line="240" w:lineRule="auto"/>
                    <w:jc w:val="center"/>
                    <w:rPr>
                      <w:sz w:val="21"/>
                      <w:szCs w:val="21"/>
                    </w:rPr>
                  </w:pPr>
                  <w:r>
                    <w:rPr>
                      <w:rFonts w:hint="eastAsia"/>
                      <w:sz w:val="21"/>
                      <w:szCs w:val="21"/>
                    </w:rPr>
                    <w:t>水质 五日生化需氧量（BOD</w:t>
                  </w:r>
                  <w:r>
                    <w:rPr>
                      <w:rFonts w:hint="eastAsia"/>
                      <w:sz w:val="21"/>
                      <w:szCs w:val="21"/>
                      <w:vertAlign w:val="subscript"/>
                    </w:rPr>
                    <w:t>5</w:t>
                  </w:r>
                  <w:r>
                    <w:rPr>
                      <w:rFonts w:hint="eastAsia"/>
                      <w:sz w:val="21"/>
                      <w:szCs w:val="21"/>
                    </w:rPr>
                    <w:t>）的测定 稀释与接种法</w:t>
                  </w:r>
                </w:p>
              </w:tc>
              <w:tc>
                <w:tcPr>
                  <w:tcW w:w="715" w:type="pct"/>
                  <w:tcBorders>
                    <w:tl2br w:val="nil"/>
                    <w:tr2bl w:val="nil"/>
                  </w:tcBorders>
                  <w:tcMar>
                    <w:left w:w="57" w:type="dxa"/>
                    <w:right w:w="57" w:type="dxa"/>
                  </w:tcMar>
                  <w:vAlign w:val="center"/>
                </w:tcPr>
                <w:p>
                  <w:pPr>
                    <w:spacing w:line="240" w:lineRule="auto"/>
                    <w:jc w:val="center"/>
                    <w:rPr>
                      <w:sz w:val="21"/>
                      <w:szCs w:val="21"/>
                    </w:rPr>
                  </w:pPr>
                  <w:r>
                    <w:rPr>
                      <w:rFonts w:hint="eastAsia"/>
                      <w:sz w:val="21"/>
                      <w:szCs w:val="21"/>
                    </w:rPr>
                    <w:t>0.5mg/L</w:t>
                  </w:r>
                </w:p>
              </w:tc>
              <w:tc>
                <w:tcPr>
                  <w:tcW w:w="1467" w:type="pct"/>
                  <w:tcBorders>
                    <w:tl2br w:val="nil"/>
                    <w:tr2bl w:val="nil"/>
                  </w:tcBorders>
                  <w:tcMar>
                    <w:left w:w="57" w:type="dxa"/>
                    <w:right w:w="57" w:type="dxa"/>
                  </w:tcMar>
                  <w:vAlign w:val="center"/>
                </w:tcPr>
                <w:p>
                  <w:pPr>
                    <w:spacing w:line="240" w:lineRule="auto"/>
                    <w:ind w:right="113"/>
                    <w:jc w:val="center"/>
                    <w:rPr>
                      <w:sz w:val="21"/>
                      <w:szCs w:val="21"/>
                    </w:rPr>
                  </w:pPr>
                  <w:r>
                    <w:rPr>
                      <w:rFonts w:hint="eastAsia"/>
                      <w:sz w:val="21"/>
                      <w:szCs w:val="21"/>
                    </w:rPr>
                    <w:t>生化培养箱</w:t>
                  </w:r>
                </w:p>
                <w:p>
                  <w:pPr>
                    <w:spacing w:line="240" w:lineRule="auto"/>
                    <w:ind w:right="113"/>
                    <w:jc w:val="center"/>
                    <w:rPr>
                      <w:sz w:val="21"/>
                      <w:szCs w:val="21"/>
                    </w:rPr>
                  </w:pPr>
                  <w:r>
                    <w:rPr>
                      <w:rFonts w:hint="eastAsia"/>
                      <w:sz w:val="21"/>
                      <w:szCs w:val="21"/>
                    </w:rPr>
                    <w:t>（GY-IE-038）</w:t>
                  </w:r>
                </w:p>
                <w:p>
                  <w:pPr>
                    <w:snapToGrid w:val="0"/>
                    <w:spacing w:line="240" w:lineRule="auto"/>
                    <w:jc w:val="center"/>
                    <w:rPr>
                      <w:sz w:val="21"/>
                      <w:szCs w:val="21"/>
                    </w:rPr>
                  </w:pPr>
                  <w:r>
                    <w:rPr>
                      <w:rFonts w:hint="eastAsia"/>
                      <w:sz w:val="21"/>
                      <w:szCs w:val="21"/>
                    </w:rPr>
                    <w:t>25mL具塞滴定管</w:t>
                  </w:r>
                </w:p>
                <w:p>
                  <w:pPr>
                    <w:spacing w:line="240" w:lineRule="auto"/>
                    <w:ind w:right="113"/>
                    <w:jc w:val="center"/>
                    <w:rPr>
                      <w:sz w:val="21"/>
                      <w:szCs w:val="21"/>
                    </w:rPr>
                  </w:pPr>
                  <w:r>
                    <w:rPr>
                      <w:rFonts w:hint="eastAsia"/>
                      <w:sz w:val="21"/>
                      <w:szCs w:val="21"/>
                    </w:rPr>
                    <w:t>（GY-MV-080-01）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pct"/>
                  <w:vMerge w:val="continue"/>
                  <w:tcBorders>
                    <w:tl2br w:val="nil"/>
                    <w:tr2bl w:val="nil"/>
                  </w:tcBorders>
                  <w:tcMar>
                    <w:left w:w="57" w:type="dxa"/>
                    <w:right w:w="57" w:type="dxa"/>
                  </w:tcMar>
                  <w:vAlign w:val="center"/>
                </w:tcPr>
                <w:p>
                  <w:pPr>
                    <w:jc w:val="center"/>
                    <w:rPr>
                      <w:rFonts w:hint="eastAsia"/>
                      <w:sz w:val="21"/>
                      <w:szCs w:val="21"/>
                    </w:rPr>
                  </w:pPr>
                </w:p>
              </w:tc>
              <w:tc>
                <w:tcPr>
                  <w:tcW w:w="795" w:type="pct"/>
                  <w:tcBorders>
                    <w:tl2br w:val="nil"/>
                    <w:tr2bl w:val="nil"/>
                  </w:tcBorders>
                  <w:tcMar>
                    <w:left w:w="57" w:type="dxa"/>
                    <w:right w:w="57" w:type="dxa"/>
                  </w:tcMar>
                  <w:vAlign w:val="center"/>
                </w:tcPr>
                <w:p>
                  <w:pPr>
                    <w:snapToGrid w:val="0"/>
                    <w:spacing w:line="240" w:lineRule="auto"/>
                    <w:jc w:val="center"/>
                    <w:rPr>
                      <w:color w:val="000000"/>
                      <w:sz w:val="21"/>
                      <w:szCs w:val="21"/>
                    </w:rPr>
                  </w:pPr>
                  <w:r>
                    <w:rPr>
                      <w:rFonts w:hint="eastAsia"/>
                      <w:color w:val="000000"/>
                      <w:sz w:val="21"/>
                      <w:szCs w:val="21"/>
                    </w:rPr>
                    <w:t>化学需氧量</w:t>
                  </w:r>
                </w:p>
              </w:tc>
              <w:tc>
                <w:tcPr>
                  <w:tcW w:w="1351" w:type="pct"/>
                  <w:tcBorders>
                    <w:tl2br w:val="nil"/>
                    <w:tr2bl w:val="nil"/>
                  </w:tcBorders>
                  <w:tcMar>
                    <w:left w:w="57" w:type="dxa"/>
                    <w:right w:w="57" w:type="dxa"/>
                  </w:tcMar>
                  <w:vAlign w:val="center"/>
                </w:tcPr>
                <w:p>
                  <w:pPr>
                    <w:snapToGrid w:val="0"/>
                    <w:spacing w:line="240" w:lineRule="auto"/>
                    <w:jc w:val="center"/>
                    <w:rPr>
                      <w:color w:val="000000"/>
                      <w:sz w:val="21"/>
                      <w:szCs w:val="21"/>
                    </w:rPr>
                  </w:pPr>
                  <w:r>
                    <w:rPr>
                      <w:color w:val="000000"/>
                      <w:sz w:val="21"/>
                      <w:szCs w:val="21"/>
                    </w:rPr>
                    <w:t>HJ 828-2017</w:t>
                  </w:r>
                </w:p>
                <w:p>
                  <w:pPr>
                    <w:snapToGrid w:val="0"/>
                    <w:spacing w:line="240" w:lineRule="auto"/>
                    <w:jc w:val="center"/>
                    <w:rPr>
                      <w:color w:val="000000"/>
                      <w:sz w:val="21"/>
                      <w:szCs w:val="21"/>
                    </w:rPr>
                  </w:pPr>
                  <w:r>
                    <w:rPr>
                      <w:rFonts w:hint="eastAsia"/>
                      <w:color w:val="000000"/>
                      <w:sz w:val="21"/>
                      <w:szCs w:val="21"/>
                    </w:rPr>
                    <w:t>水质 化学需氧量的测定 重铬酸盐法</w:t>
                  </w:r>
                </w:p>
              </w:tc>
              <w:tc>
                <w:tcPr>
                  <w:tcW w:w="715" w:type="pct"/>
                  <w:tcBorders>
                    <w:tl2br w:val="nil"/>
                    <w:tr2bl w:val="nil"/>
                  </w:tcBorders>
                  <w:tcMar>
                    <w:left w:w="57" w:type="dxa"/>
                    <w:right w:w="57" w:type="dxa"/>
                  </w:tcMar>
                  <w:vAlign w:val="center"/>
                </w:tcPr>
                <w:p>
                  <w:pPr>
                    <w:snapToGrid w:val="0"/>
                    <w:spacing w:line="240" w:lineRule="auto"/>
                    <w:jc w:val="center"/>
                    <w:rPr>
                      <w:color w:val="000000"/>
                      <w:sz w:val="21"/>
                      <w:szCs w:val="21"/>
                    </w:rPr>
                  </w:pPr>
                  <w:r>
                    <w:rPr>
                      <w:rFonts w:hint="eastAsia"/>
                      <w:color w:val="000000"/>
                      <w:sz w:val="21"/>
                      <w:szCs w:val="21"/>
                    </w:rPr>
                    <w:t>4</w:t>
                  </w:r>
                  <w:r>
                    <w:rPr>
                      <w:color w:val="000000"/>
                      <w:sz w:val="21"/>
                      <w:szCs w:val="21"/>
                    </w:rPr>
                    <w:t xml:space="preserve"> mg/L</w:t>
                  </w:r>
                </w:p>
              </w:tc>
              <w:tc>
                <w:tcPr>
                  <w:tcW w:w="1467" w:type="pct"/>
                  <w:tcBorders>
                    <w:tl2br w:val="nil"/>
                    <w:tr2bl w:val="nil"/>
                  </w:tcBorders>
                  <w:tcMar>
                    <w:left w:w="57" w:type="dxa"/>
                    <w:right w:w="57" w:type="dxa"/>
                  </w:tcMar>
                  <w:vAlign w:val="center"/>
                </w:tcPr>
                <w:p>
                  <w:pPr>
                    <w:snapToGrid w:val="0"/>
                    <w:spacing w:line="240" w:lineRule="auto"/>
                    <w:jc w:val="center"/>
                    <w:rPr>
                      <w:sz w:val="21"/>
                      <w:szCs w:val="21"/>
                    </w:rPr>
                  </w:pPr>
                  <w:r>
                    <w:rPr>
                      <w:rFonts w:hint="eastAsia"/>
                      <w:sz w:val="21"/>
                      <w:szCs w:val="21"/>
                    </w:rPr>
                    <w:t>6B-12C型智能回流消解仪</w:t>
                  </w:r>
                </w:p>
                <w:p>
                  <w:pPr>
                    <w:snapToGrid w:val="0"/>
                    <w:spacing w:line="240" w:lineRule="auto"/>
                    <w:jc w:val="center"/>
                    <w:rPr>
                      <w:sz w:val="21"/>
                      <w:szCs w:val="21"/>
                    </w:rPr>
                  </w:pPr>
                  <w:r>
                    <w:rPr>
                      <w:rFonts w:hint="eastAsia"/>
                      <w:sz w:val="21"/>
                      <w:szCs w:val="21"/>
                    </w:rPr>
                    <w:t>（GY-IE-022）</w:t>
                  </w:r>
                </w:p>
                <w:p>
                  <w:pPr>
                    <w:snapToGrid w:val="0"/>
                    <w:spacing w:line="240" w:lineRule="auto"/>
                    <w:jc w:val="center"/>
                    <w:rPr>
                      <w:sz w:val="21"/>
                      <w:szCs w:val="21"/>
                    </w:rPr>
                  </w:pPr>
                  <w:r>
                    <w:rPr>
                      <w:rFonts w:hint="eastAsia"/>
                      <w:sz w:val="21"/>
                      <w:szCs w:val="21"/>
                    </w:rPr>
                    <w:t>25mL具塞滴定管</w:t>
                  </w:r>
                </w:p>
                <w:p>
                  <w:pPr>
                    <w:snapToGrid w:val="0"/>
                    <w:spacing w:line="240" w:lineRule="auto"/>
                    <w:jc w:val="center"/>
                    <w:rPr>
                      <w:sz w:val="21"/>
                      <w:szCs w:val="21"/>
                    </w:rPr>
                  </w:pPr>
                  <w:r>
                    <w:rPr>
                      <w:rFonts w:hint="eastAsia"/>
                      <w:sz w:val="21"/>
                      <w:szCs w:val="21"/>
                    </w:rPr>
                    <w:t>（GY-MV-080-01）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pct"/>
                  <w:vMerge w:val="continue"/>
                  <w:tcBorders>
                    <w:tl2br w:val="nil"/>
                    <w:tr2bl w:val="nil"/>
                  </w:tcBorders>
                  <w:tcMar>
                    <w:left w:w="57" w:type="dxa"/>
                    <w:right w:w="57" w:type="dxa"/>
                  </w:tcMar>
                  <w:vAlign w:val="center"/>
                </w:tcPr>
                <w:p>
                  <w:pPr>
                    <w:jc w:val="center"/>
                    <w:rPr>
                      <w:rFonts w:hint="eastAsia"/>
                      <w:sz w:val="21"/>
                      <w:szCs w:val="21"/>
                    </w:rPr>
                  </w:pPr>
                </w:p>
              </w:tc>
              <w:tc>
                <w:tcPr>
                  <w:tcW w:w="795" w:type="pct"/>
                  <w:tcBorders>
                    <w:tl2br w:val="nil"/>
                    <w:tr2bl w:val="nil"/>
                  </w:tcBorders>
                  <w:tcMar>
                    <w:left w:w="57" w:type="dxa"/>
                    <w:right w:w="57" w:type="dxa"/>
                  </w:tcMar>
                  <w:vAlign w:val="center"/>
                </w:tcPr>
                <w:p>
                  <w:pPr>
                    <w:jc w:val="center"/>
                    <w:rPr>
                      <w:bCs/>
                      <w:color w:val="000000"/>
                      <w:sz w:val="21"/>
                      <w:szCs w:val="21"/>
                    </w:rPr>
                  </w:pPr>
                  <w:r>
                    <w:rPr>
                      <w:rFonts w:hint="eastAsia"/>
                      <w:bCs/>
                      <w:color w:val="000000"/>
                      <w:sz w:val="21"/>
                      <w:szCs w:val="21"/>
                    </w:rPr>
                    <w:t>氨氮</w:t>
                  </w:r>
                </w:p>
              </w:tc>
              <w:tc>
                <w:tcPr>
                  <w:tcW w:w="1351" w:type="pct"/>
                  <w:tcBorders>
                    <w:tl2br w:val="nil"/>
                    <w:tr2bl w:val="nil"/>
                  </w:tcBorders>
                  <w:tcMar>
                    <w:left w:w="57" w:type="dxa"/>
                    <w:right w:w="57" w:type="dxa"/>
                  </w:tcMar>
                  <w:vAlign w:val="center"/>
                </w:tcPr>
                <w:p>
                  <w:pPr>
                    <w:spacing w:line="240" w:lineRule="auto"/>
                    <w:jc w:val="center"/>
                    <w:rPr>
                      <w:sz w:val="21"/>
                      <w:szCs w:val="21"/>
                    </w:rPr>
                  </w:pPr>
                  <w:r>
                    <w:rPr>
                      <w:rFonts w:hint="eastAsia"/>
                      <w:sz w:val="21"/>
                      <w:szCs w:val="21"/>
                    </w:rPr>
                    <w:t>HJ 535-2009</w:t>
                  </w:r>
                </w:p>
                <w:p>
                  <w:pPr>
                    <w:spacing w:line="240" w:lineRule="auto"/>
                    <w:jc w:val="center"/>
                    <w:rPr>
                      <w:sz w:val="21"/>
                      <w:szCs w:val="21"/>
                    </w:rPr>
                  </w:pPr>
                  <w:r>
                    <w:rPr>
                      <w:rFonts w:hint="eastAsia"/>
                      <w:sz w:val="21"/>
                      <w:szCs w:val="21"/>
                    </w:rPr>
                    <w:t>水质 氨氮的测定 纳氏试剂分光光度法</w:t>
                  </w:r>
                </w:p>
              </w:tc>
              <w:tc>
                <w:tcPr>
                  <w:tcW w:w="715" w:type="pct"/>
                  <w:tcBorders>
                    <w:tl2br w:val="nil"/>
                    <w:tr2bl w:val="nil"/>
                  </w:tcBorders>
                  <w:tcMar>
                    <w:left w:w="57" w:type="dxa"/>
                    <w:right w:w="57" w:type="dxa"/>
                  </w:tcMar>
                  <w:vAlign w:val="center"/>
                </w:tcPr>
                <w:p>
                  <w:pPr>
                    <w:spacing w:line="240" w:lineRule="auto"/>
                    <w:jc w:val="center"/>
                    <w:rPr>
                      <w:sz w:val="21"/>
                      <w:szCs w:val="21"/>
                    </w:rPr>
                  </w:pPr>
                  <w:r>
                    <w:rPr>
                      <w:rFonts w:hint="eastAsia"/>
                      <w:sz w:val="21"/>
                      <w:szCs w:val="21"/>
                    </w:rPr>
                    <w:t>0.025mg/L</w:t>
                  </w:r>
                </w:p>
              </w:tc>
              <w:tc>
                <w:tcPr>
                  <w:tcW w:w="1467" w:type="pct"/>
                  <w:tcBorders>
                    <w:tl2br w:val="nil"/>
                    <w:tr2bl w:val="nil"/>
                  </w:tcBorders>
                  <w:tcMar>
                    <w:left w:w="57" w:type="dxa"/>
                    <w:right w:w="57" w:type="dxa"/>
                  </w:tcMar>
                  <w:vAlign w:val="center"/>
                </w:tcPr>
                <w:p>
                  <w:pPr>
                    <w:snapToGrid w:val="0"/>
                    <w:spacing w:line="240" w:lineRule="auto"/>
                    <w:jc w:val="center"/>
                    <w:rPr>
                      <w:sz w:val="21"/>
                      <w:szCs w:val="21"/>
                    </w:rPr>
                  </w:pPr>
                  <w:r>
                    <w:rPr>
                      <w:sz w:val="21"/>
                      <w:szCs w:val="21"/>
                    </w:rPr>
                    <w:t>S</w:t>
                  </w:r>
                  <w:r>
                    <w:rPr>
                      <w:rFonts w:hint="eastAsia"/>
                      <w:sz w:val="21"/>
                      <w:szCs w:val="21"/>
                    </w:rPr>
                    <w:t>P-752紫外可见分光光度计（GY-IE-100）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pct"/>
                  <w:tcBorders>
                    <w:tl2br w:val="nil"/>
                    <w:tr2bl w:val="nil"/>
                  </w:tcBorders>
                  <w:tcMar>
                    <w:left w:w="57" w:type="dxa"/>
                    <w:right w:w="57" w:type="dxa"/>
                  </w:tcMar>
                  <w:vAlign w:val="center"/>
                </w:tcPr>
                <w:p>
                  <w:pPr>
                    <w:jc w:val="center"/>
                    <w:rPr>
                      <w:sz w:val="21"/>
                      <w:szCs w:val="21"/>
                    </w:rPr>
                  </w:pPr>
                  <w:r>
                    <w:rPr>
                      <w:rFonts w:hint="eastAsia"/>
                      <w:bCs/>
                      <w:color w:val="000000"/>
                      <w:sz w:val="21"/>
                      <w:szCs w:val="21"/>
                    </w:rPr>
                    <w:t>噪声</w:t>
                  </w:r>
                </w:p>
              </w:tc>
              <w:tc>
                <w:tcPr>
                  <w:tcW w:w="795" w:type="pct"/>
                  <w:tcBorders>
                    <w:tl2br w:val="nil"/>
                    <w:tr2bl w:val="nil"/>
                  </w:tcBorders>
                  <w:tcMar>
                    <w:left w:w="57" w:type="dxa"/>
                    <w:right w:w="57" w:type="dxa"/>
                  </w:tcMar>
                  <w:vAlign w:val="center"/>
                </w:tcPr>
                <w:p>
                  <w:pPr>
                    <w:jc w:val="center"/>
                    <w:rPr>
                      <w:sz w:val="21"/>
                      <w:szCs w:val="21"/>
                    </w:rPr>
                  </w:pPr>
                  <w:r>
                    <w:rPr>
                      <w:rFonts w:hint="eastAsia"/>
                      <w:sz w:val="21"/>
                      <w:szCs w:val="21"/>
                    </w:rPr>
                    <w:t>厂界环境噪声</w:t>
                  </w:r>
                </w:p>
              </w:tc>
              <w:tc>
                <w:tcPr>
                  <w:tcW w:w="1351" w:type="pct"/>
                  <w:tcBorders>
                    <w:tl2br w:val="nil"/>
                    <w:tr2bl w:val="nil"/>
                  </w:tcBorders>
                  <w:tcMar>
                    <w:left w:w="57" w:type="dxa"/>
                    <w:right w:w="57" w:type="dxa"/>
                  </w:tcMar>
                  <w:vAlign w:val="center"/>
                </w:tcPr>
                <w:p>
                  <w:pPr>
                    <w:snapToGrid w:val="0"/>
                    <w:spacing w:line="240" w:lineRule="auto"/>
                    <w:jc w:val="center"/>
                    <w:rPr>
                      <w:color w:val="000000"/>
                      <w:sz w:val="21"/>
                      <w:szCs w:val="21"/>
                    </w:rPr>
                  </w:pPr>
                  <w:r>
                    <w:rPr>
                      <w:rFonts w:hint="eastAsia"/>
                      <w:color w:val="000000"/>
                      <w:sz w:val="21"/>
                      <w:szCs w:val="21"/>
                    </w:rPr>
                    <w:t>GB 12348-2008</w:t>
                  </w:r>
                </w:p>
                <w:p>
                  <w:pPr>
                    <w:spacing w:line="240" w:lineRule="auto"/>
                    <w:jc w:val="center"/>
                    <w:rPr>
                      <w:sz w:val="21"/>
                      <w:szCs w:val="21"/>
                    </w:rPr>
                  </w:pPr>
                  <w:r>
                    <w:rPr>
                      <w:rFonts w:hint="eastAsia"/>
                      <w:color w:val="000000"/>
                      <w:sz w:val="21"/>
                      <w:szCs w:val="21"/>
                    </w:rPr>
                    <w:t>工业企业厂界环境噪声排放标准</w:t>
                  </w:r>
                </w:p>
              </w:tc>
              <w:tc>
                <w:tcPr>
                  <w:tcW w:w="715" w:type="pct"/>
                  <w:tcBorders>
                    <w:tl2br w:val="nil"/>
                    <w:tr2bl w:val="nil"/>
                  </w:tcBorders>
                  <w:tcMar>
                    <w:left w:w="57" w:type="dxa"/>
                    <w:right w:w="57" w:type="dxa"/>
                  </w:tcMar>
                  <w:vAlign w:val="center"/>
                </w:tcPr>
                <w:p>
                  <w:pPr>
                    <w:spacing w:line="240" w:lineRule="auto"/>
                    <w:jc w:val="center"/>
                    <w:rPr>
                      <w:sz w:val="21"/>
                      <w:szCs w:val="21"/>
                    </w:rPr>
                  </w:pPr>
                  <w:r>
                    <w:rPr>
                      <w:rFonts w:hint="eastAsia"/>
                      <w:color w:val="000000"/>
                      <w:sz w:val="21"/>
                      <w:szCs w:val="21"/>
                    </w:rPr>
                    <w:t>—</w:t>
                  </w:r>
                </w:p>
              </w:tc>
              <w:tc>
                <w:tcPr>
                  <w:tcW w:w="1467" w:type="pct"/>
                  <w:tcBorders>
                    <w:tl2br w:val="nil"/>
                    <w:tr2bl w:val="nil"/>
                  </w:tcBorders>
                  <w:tcMar>
                    <w:left w:w="57" w:type="dxa"/>
                    <w:right w:w="57" w:type="dxa"/>
                  </w:tcMar>
                  <w:vAlign w:val="center"/>
                </w:tcPr>
                <w:p>
                  <w:pPr>
                    <w:spacing w:line="240" w:lineRule="auto"/>
                    <w:ind w:right="113"/>
                    <w:jc w:val="center"/>
                    <w:rPr>
                      <w:sz w:val="21"/>
                      <w:szCs w:val="21"/>
                    </w:rPr>
                  </w:pPr>
                  <w:r>
                    <w:rPr>
                      <w:rFonts w:hint="eastAsia"/>
                      <w:sz w:val="21"/>
                      <w:szCs w:val="21"/>
                    </w:rPr>
                    <w:t>AWA5688多功能声级计（</w:t>
                  </w:r>
                  <w:r>
                    <w:rPr>
                      <w:sz w:val="21"/>
                      <w:szCs w:val="21"/>
                    </w:rPr>
                    <w:t>GY-IE-</w:t>
                  </w:r>
                  <w:r>
                    <w:rPr>
                      <w:rFonts w:hint="eastAsia"/>
                      <w:sz w:val="21"/>
                      <w:szCs w:val="21"/>
                    </w:rPr>
                    <w:t>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2" w:type="pct"/>
                  <w:tcBorders>
                    <w:tl2br w:val="nil"/>
                    <w:tr2bl w:val="nil"/>
                  </w:tcBorders>
                  <w:tcMar>
                    <w:left w:w="57" w:type="dxa"/>
                    <w:right w:w="57" w:type="dxa"/>
                  </w:tcMar>
                  <w:vAlign w:val="center"/>
                </w:tcPr>
                <w:p>
                  <w:pPr>
                    <w:spacing w:line="240" w:lineRule="auto"/>
                    <w:jc w:val="center"/>
                    <w:rPr>
                      <w:color w:val="000000"/>
                      <w:sz w:val="21"/>
                      <w:szCs w:val="21"/>
                    </w:rPr>
                  </w:pPr>
                  <w:r>
                    <w:rPr>
                      <w:color w:val="000000"/>
                      <w:sz w:val="21"/>
                      <w:szCs w:val="21"/>
                    </w:rPr>
                    <w:t>备注</w:t>
                  </w:r>
                </w:p>
              </w:tc>
              <w:tc>
                <w:tcPr>
                  <w:tcW w:w="4328" w:type="pct"/>
                  <w:gridSpan w:val="4"/>
                  <w:tcBorders>
                    <w:tl2br w:val="nil"/>
                    <w:tr2bl w:val="nil"/>
                  </w:tcBorders>
                  <w:tcMar>
                    <w:left w:w="57" w:type="dxa"/>
                    <w:right w:w="57" w:type="dxa"/>
                  </w:tcMar>
                  <w:vAlign w:val="center"/>
                </w:tcPr>
                <w:p>
                  <w:pPr>
                    <w:spacing w:line="240" w:lineRule="auto"/>
                    <w:ind w:right="113"/>
                    <w:rPr>
                      <w:color w:val="000000"/>
                      <w:sz w:val="21"/>
                      <w:szCs w:val="21"/>
                    </w:rPr>
                  </w:pPr>
                  <w:r>
                    <w:rPr>
                      <w:color w:val="000000"/>
                      <w:sz w:val="21"/>
                      <w:szCs w:val="21"/>
                    </w:rPr>
                    <w:t>1.</w:t>
                  </w:r>
                  <w:r>
                    <w:rPr>
                      <w:rFonts w:hint="eastAsia"/>
                      <w:color w:val="000000"/>
                      <w:sz w:val="21"/>
                      <w:szCs w:val="21"/>
                      <w:lang w:eastAsia="zh-CN"/>
                    </w:rPr>
                    <w:t>“</w:t>
                  </w:r>
                  <w:r>
                    <w:rPr>
                      <w:color w:val="000000"/>
                      <w:sz w:val="21"/>
                      <w:szCs w:val="21"/>
                    </w:rPr>
                    <w:t>—</w:t>
                  </w:r>
                  <w:r>
                    <w:rPr>
                      <w:rFonts w:hint="eastAsia"/>
                      <w:color w:val="000000"/>
                      <w:sz w:val="21"/>
                      <w:szCs w:val="21"/>
                      <w:lang w:eastAsia="zh-CN"/>
                    </w:rPr>
                    <w:t>”</w:t>
                  </w:r>
                  <w:r>
                    <w:rPr>
                      <w:color w:val="000000"/>
                      <w:sz w:val="21"/>
                      <w:szCs w:val="21"/>
                    </w:rPr>
                    <w:t>表示方法无检出限。</w:t>
                  </w:r>
                </w:p>
              </w:tc>
            </w:tr>
          </w:tbl>
          <w:p>
            <w:pPr>
              <w:spacing w:line="360" w:lineRule="auto"/>
              <w:jc w:val="both"/>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8.2 人员资质</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检测、计量设备强检合格；人员资质：人员持证上岗。</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jc w:val="both"/>
              <w:textAlignment w:val="auto"/>
              <w:outlineLvl w:val="9"/>
              <w:rPr>
                <w:rFonts w:hint="eastAsia"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8.3 监测分析过程中的质量保证和质量控制</w:t>
            </w:r>
          </w:p>
          <w:p>
            <w:pPr>
              <w:keepNext w:val="0"/>
              <w:keepLines w:val="0"/>
              <w:pageBreakBefore w:val="0"/>
              <w:widowControl w:val="0"/>
              <w:kinsoku/>
              <w:wordWrap/>
              <w:overflowPunct/>
              <w:topLinePunct w:val="0"/>
              <w:autoSpaceDE w:val="0"/>
              <w:autoSpaceDN w:val="0"/>
              <w:bidi w:val="0"/>
              <w:adjustRightInd/>
              <w:snapToGrid w:val="0"/>
              <w:spacing w:before="0" w:after="0" w:line="360" w:lineRule="auto"/>
              <w:ind w:left="0" w:leftChars="0" w:right="0" w:rightChars="0" w:firstLine="480" w:firstLineChars="200"/>
              <w:jc w:val="both"/>
              <w:textAlignment w:val="auto"/>
              <w:outlineLvl w:val="9"/>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按照《污水监测技术规范》（HJ 91.1-2019）、《固定源废气监测技术规范》（HJ/T 397-2007）、《固定污染源监测质量保证与质量控制技术规范（试行）》（HJ/T 373-2007）、《大气污染物无组织排放监测技术导则》（HJ/T 55-2000）、《环境空气质量手工监测技术规范》（HJ/T 194-2017 及修改单）、《工业企业厂界环境噪声排放标准》（GB 12348-2008）等技术规范和标准，对监测的全过程进行质量保证和控制；</w:t>
            </w:r>
          </w:p>
          <w:p>
            <w:pPr>
              <w:keepNext w:val="0"/>
              <w:keepLines w:val="0"/>
              <w:pageBreakBefore w:val="0"/>
              <w:widowControl w:val="0"/>
              <w:kinsoku/>
              <w:wordWrap/>
              <w:overflowPunct/>
              <w:topLinePunct w:val="0"/>
              <w:autoSpaceDE w:val="0"/>
              <w:autoSpaceDN w:val="0"/>
              <w:bidi w:val="0"/>
              <w:adjustRightInd/>
              <w:snapToGrid w:val="0"/>
              <w:spacing w:before="0" w:after="0" w:line="360" w:lineRule="auto"/>
              <w:ind w:left="0" w:leftChars="0" w:right="0" w:rightChars="0" w:firstLine="480" w:firstLineChars="200"/>
              <w:jc w:val="both"/>
              <w:textAlignment w:val="auto"/>
              <w:outlineLvl w:val="9"/>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（1）参加监测的工作人员，均经过公司正规培训，均持有上岗证书。</w:t>
            </w:r>
          </w:p>
          <w:p>
            <w:pPr>
              <w:keepNext w:val="0"/>
              <w:keepLines w:val="0"/>
              <w:pageBreakBefore w:val="0"/>
              <w:widowControl w:val="0"/>
              <w:kinsoku/>
              <w:wordWrap/>
              <w:overflowPunct/>
              <w:topLinePunct w:val="0"/>
              <w:autoSpaceDE w:val="0"/>
              <w:autoSpaceDN w:val="0"/>
              <w:bidi w:val="0"/>
              <w:adjustRightInd/>
              <w:snapToGrid w:val="0"/>
              <w:spacing w:before="0" w:after="0" w:line="360" w:lineRule="auto"/>
              <w:ind w:left="0" w:leftChars="0" w:right="0" w:rightChars="0" w:firstLine="480" w:firstLineChars="200"/>
              <w:jc w:val="both"/>
              <w:textAlignment w:val="auto"/>
              <w:outlineLvl w:val="9"/>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（2）使用的监测仪器设备经计量部门检定合格，并在有效期内，采样器在使用前均进行流量校准，保证采样系统不漏气，声级计在使用前后均经过校准。</w:t>
            </w:r>
          </w:p>
          <w:p>
            <w:pPr>
              <w:keepNext w:val="0"/>
              <w:keepLines w:val="0"/>
              <w:pageBreakBefore w:val="0"/>
              <w:widowControl w:val="0"/>
              <w:kinsoku/>
              <w:wordWrap/>
              <w:overflowPunct/>
              <w:topLinePunct w:val="0"/>
              <w:autoSpaceDE w:val="0"/>
              <w:autoSpaceDN w:val="0"/>
              <w:bidi w:val="0"/>
              <w:adjustRightInd/>
              <w:snapToGrid w:val="0"/>
              <w:spacing w:before="0" w:after="0" w:line="360" w:lineRule="auto"/>
              <w:ind w:left="0" w:leftChars="0" w:right="0" w:rightChars="0" w:firstLine="480" w:firstLineChars="200"/>
              <w:jc w:val="both"/>
              <w:textAlignment w:val="auto"/>
              <w:outlineLvl w:val="9"/>
              <w:rPr>
                <w:rFonts w:hint="eastAsia"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（3）检测报告实行三级审核制度。</w:t>
            </w:r>
          </w:p>
          <w:p>
            <w:pPr>
              <w:pStyle w:val="18"/>
              <w:rPr>
                <w:rFonts w:hint="eastAsia" w:ascii="Times New Roman" w:hAnsi="Times New Roman" w:cs="Times New Roman"/>
                <w:b w:val="0"/>
                <w:bCs w:val="0"/>
                <w:color w:val="auto"/>
                <w:sz w:val="24"/>
                <w:szCs w:val="24"/>
                <w:vertAlign w:val="baseline"/>
                <w:lang w:val="en-US" w:eastAsia="zh-CN"/>
              </w:rPr>
            </w:pPr>
          </w:p>
          <w:p>
            <w:pPr>
              <w:rPr>
                <w:rFonts w:hint="eastAsia" w:ascii="Times New Roman" w:hAnsi="Times New Roman" w:cs="Times New Roman"/>
                <w:b w:val="0"/>
                <w:bCs w:val="0"/>
                <w:color w:val="auto"/>
                <w:sz w:val="24"/>
                <w:szCs w:val="24"/>
                <w:vertAlign w:val="baseline"/>
                <w:lang w:val="en-US" w:eastAsia="zh-CN"/>
              </w:rPr>
            </w:pPr>
          </w:p>
          <w:p>
            <w:pPr>
              <w:pStyle w:val="18"/>
              <w:rPr>
                <w:rFonts w:hint="eastAsia" w:ascii="Times New Roman" w:hAnsi="Times New Roman" w:cs="Times New Roman"/>
                <w:b w:val="0"/>
                <w:bCs w:val="0"/>
                <w:color w:val="auto"/>
                <w:sz w:val="24"/>
                <w:szCs w:val="24"/>
                <w:vertAlign w:val="baseline"/>
                <w:lang w:val="en-US" w:eastAsia="zh-CN"/>
              </w:rPr>
            </w:pPr>
          </w:p>
          <w:p>
            <w:pPr>
              <w:rPr>
                <w:rFonts w:hint="eastAsia" w:ascii="Times New Roman" w:hAnsi="Times New Roman" w:cs="Times New Roman"/>
                <w:b w:val="0"/>
                <w:bCs w:val="0"/>
                <w:color w:val="auto"/>
                <w:sz w:val="24"/>
                <w:szCs w:val="24"/>
                <w:vertAlign w:val="baseline"/>
                <w:lang w:val="en-US" w:eastAsia="zh-CN"/>
              </w:rPr>
            </w:pPr>
          </w:p>
          <w:p>
            <w:pPr>
              <w:pStyle w:val="18"/>
              <w:rPr>
                <w:rFonts w:hint="eastAsia" w:ascii="Times New Roman" w:hAnsi="Times New Roman" w:cs="Times New Roman"/>
                <w:b w:val="0"/>
                <w:bCs w:val="0"/>
                <w:color w:val="auto"/>
                <w:sz w:val="24"/>
                <w:szCs w:val="24"/>
                <w:vertAlign w:val="baseline"/>
                <w:lang w:val="en-US" w:eastAsia="zh-CN"/>
              </w:rPr>
            </w:pPr>
          </w:p>
          <w:p>
            <w:pPr>
              <w:rPr>
                <w:rFonts w:hint="eastAsia" w:ascii="Times New Roman" w:hAnsi="Times New Roman" w:cs="Times New Roman"/>
                <w:b w:val="0"/>
                <w:bCs w:val="0"/>
                <w:color w:val="auto"/>
                <w:sz w:val="24"/>
                <w:szCs w:val="24"/>
                <w:vertAlign w:val="baseline"/>
                <w:lang w:val="en-US" w:eastAsia="zh-CN"/>
              </w:rPr>
            </w:pPr>
          </w:p>
          <w:p>
            <w:pPr>
              <w:pStyle w:val="18"/>
              <w:rPr>
                <w:rFonts w:hint="eastAsia" w:ascii="Times New Roman" w:hAnsi="Times New Roman" w:cs="Times New Roman"/>
                <w:b w:val="0"/>
                <w:bCs w:val="0"/>
                <w:color w:val="auto"/>
                <w:sz w:val="24"/>
                <w:szCs w:val="24"/>
                <w:vertAlign w:val="baseline"/>
                <w:lang w:val="en-US" w:eastAsia="zh-CN"/>
              </w:rPr>
            </w:pPr>
          </w:p>
          <w:p>
            <w:pPr>
              <w:rPr>
                <w:rFonts w:hint="eastAsia" w:ascii="Times New Roman" w:hAnsi="Times New Roman" w:cs="Times New Roman"/>
                <w:b w:val="0"/>
                <w:bCs w:val="0"/>
                <w:color w:val="auto"/>
                <w:sz w:val="24"/>
                <w:szCs w:val="24"/>
                <w:vertAlign w:val="baseline"/>
                <w:lang w:val="en-US" w:eastAsia="zh-CN"/>
              </w:rPr>
            </w:pPr>
          </w:p>
          <w:p>
            <w:pPr>
              <w:pStyle w:val="18"/>
              <w:rPr>
                <w:rFonts w:hint="eastAsia" w:ascii="Times New Roman" w:hAnsi="Times New Roman" w:cs="Times New Roman"/>
                <w:b w:val="0"/>
                <w:bCs w:val="0"/>
                <w:color w:val="auto"/>
                <w:sz w:val="24"/>
                <w:szCs w:val="24"/>
                <w:vertAlign w:val="baseline"/>
                <w:lang w:val="en-US" w:eastAsia="zh-CN"/>
              </w:rPr>
            </w:pPr>
          </w:p>
          <w:p>
            <w:pPr>
              <w:rPr>
                <w:rFonts w:hint="eastAsia" w:ascii="Times New Roman" w:hAnsi="Times New Roman" w:cs="Times New Roman"/>
                <w:b w:val="0"/>
                <w:bCs w:val="0"/>
                <w:color w:val="auto"/>
                <w:sz w:val="24"/>
                <w:szCs w:val="24"/>
                <w:vertAlign w:val="baseline"/>
                <w:lang w:val="en-US" w:eastAsia="zh-CN"/>
              </w:rPr>
            </w:pPr>
          </w:p>
          <w:p>
            <w:pPr>
              <w:pStyle w:val="18"/>
              <w:rPr>
                <w:rFonts w:hint="eastAsia" w:ascii="Times New Roman" w:hAnsi="Times New Roman" w:cs="Times New Roman"/>
                <w:b w:val="0"/>
                <w:bCs w:val="0"/>
                <w:color w:val="auto"/>
                <w:sz w:val="24"/>
                <w:szCs w:val="24"/>
                <w:vertAlign w:val="baseline"/>
                <w:lang w:val="en-US"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bidi w:val="0"/>
              <w:rPr>
                <w:rFonts w:hint="default"/>
                <w:lang w:eastAsia="zh-CN"/>
              </w:rPr>
            </w:pPr>
          </w:p>
          <w:p>
            <w:pPr>
              <w:tabs>
                <w:tab w:val="left" w:pos="2254"/>
              </w:tabs>
              <w:bidi w:val="0"/>
              <w:jc w:val="left"/>
              <w:rPr>
                <w:rFonts w:hint="eastAsia"/>
                <w:lang w:eastAsia="zh-CN"/>
              </w:rPr>
            </w:pPr>
            <w:r>
              <w:rPr>
                <w:rFonts w:hint="eastAsia"/>
                <w:lang w:eastAsia="zh-CN"/>
              </w:rPr>
              <w:tab/>
            </w:r>
          </w:p>
          <w:p>
            <w:pPr>
              <w:pStyle w:val="18"/>
              <w:rPr>
                <w:rFonts w:hint="eastAsia"/>
                <w:lang w:eastAsia="zh-CN"/>
              </w:rPr>
            </w:pPr>
          </w:p>
          <w:p>
            <w:pPr>
              <w:rPr>
                <w:rFonts w:hint="eastAsia"/>
                <w:lang w:eastAsia="zh-CN"/>
              </w:rPr>
            </w:pPr>
          </w:p>
          <w:p>
            <w:pPr>
              <w:pStyle w:val="18"/>
              <w:rPr>
                <w:rFonts w:hint="eastAsia"/>
                <w:lang w:eastAsia="zh-CN"/>
              </w:rPr>
            </w:pPr>
          </w:p>
          <w:p>
            <w:pPr>
              <w:rPr>
                <w:rFonts w:hint="eastAsia"/>
                <w:lang w:eastAsia="zh-CN"/>
              </w:rPr>
            </w:pPr>
          </w:p>
          <w:p>
            <w:pPr>
              <w:pStyle w:val="18"/>
              <w:rPr>
                <w:rFonts w:hint="eastAsia"/>
                <w:lang w:eastAsia="zh-CN"/>
              </w:rPr>
            </w:pPr>
          </w:p>
          <w:p>
            <w:pPr>
              <w:rPr>
                <w:rFonts w:hint="eastAsia"/>
                <w:lang w:eastAsia="zh-CN"/>
              </w:rPr>
            </w:pPr>
          </w:p>
          <w:p>
            <w:pPr>
              <w:pStyle w:val="18"/>
              <w:rPr>
                <w:rFonts w:hint="default"/>
                <w:lang w:eastAsia="zh-CN"/>
              </w:rPr>
            </w:pPr>
          </w:p>
        </w:tc>
      </w:tr>
    </w:tbl>
    <w:p>
      <w:pPr>
        <w:spacing w:line="360" w:lineRule="auto"/>
        <w:rPr>
          <w:rFonts w:hint="default" w:ascii="Times New Roman" w:hAnsi="Times New Roman" w:cs="Times New Roman"/>
          <w:b/>
          <w:bCs/>
          <w:color w:val="auto"/>
          <w:sz w:val="24"/>
          <w:szCs w:val="24"/>
          <w:lang w:eastAsia="zh-CN"/>
        </w:rPr>
      </w:pPr>
      <w:r>
        <w:rPr>
          <w:rFonts w:hint="default" w:ascii="Times New Roman" w:hAnsi="Times New Roman" w:cs="Times New Roman"/>
          <w:b/>
          <w:bCs/>
          <w:color w:val="0000FF"/>
          <w:sz w:val="24"/>
          <w:szCs w:val="24"/>
          <w:lang w:eastAsia="zh-CN"/>
        </w:rPr>
        <w:br w:type="page"/>
      </w:r>
      <w:r>
        <w:rPr>
          <w:rFonts w:hint="default" w:ascii="Times New Roman" w:hAnsi="Times New Roman" w:cs="Times New Roman"/>
          <w:b/>
          <w:bCs/>
          <w:color w:val="auto"/>
          <w:sz w:val="24"/>
          <w:szCs w:val="24"/>
          <w:lang w:eastAsia="zh-CN"/>
        </w:rPr>
        <w:t>表九、验收监测结果</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44" w:hRule="atLeast"/>
        </w:trPr>
        <w:tc>
          <w:tcPr>
            <w:tcW w:w="5000" w:type="pct"/>
          </w:tcPr>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9.1 生产工况</w:t>
            </w:r>
          </w:p>
          <w:p>
            <w:pPr>
              <w:pStyle w:val="7"/>
              <w:spacing w:line="360" w:lineRule="auto"/>
              <w:ind w:firstLine="480" w:firstLineChars="200"/>
              <w:jc w:val="both"/>
              <w:rPr>
                <w:rFonts w:hint="default" w:ascii="Times New Roman" w:hAnsi="Times New Roman" w:cs="Times New Roman"/>
                <w:color w:val="auto"/>
                <w:lang w:eastAsia="zh-CN"/>
              </w:rPr>
            </w:pPr>
            <w:r>
              <w:rPr>
                <w:rFonts w:hint="default" w:ascii="Times New Roman" w:hAnsi="Times New Roman" w:cs="Times New Roman"/>
                <w:color w:val="auto"/>
                <w:lang w:eastAsia="zh-CN"/>
              </w:rPr>
              <w:t>验收监测期间环保设施设备稳定运行，满足环境保护验收要求。</w:t>
            </w:r>
          </w:p>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9.2 环境保护设施调试效果</w:t>
            </w:r>
          </w:p>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9.2.1 污染物达标排放监测结果</w:t>
            </w:r>
          </w:p>
          <w:p>
            <w:pPr>
              <w:spacing w:line="360" w:lineRule="auto"/>
              <w:ind w:firstLine="482" w:firstLineChars="200"/>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9.2.1.1 废气</w:t>
            </w:r>
          </w:p>
          <w:p>
            <w:pPr>
              <w:spacing w:line="360" w:lineRule="auto"/>
              <w:ind w:firstLine="480" w:firstLineChars="200"/>
              <w:jc w:val="both"/>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1）有组织废气</w:t>
            </w:r>
          </w:p>
          <w:p>
            <w:pPr>
              <w:spacing w:line="360" w:lineRule="auto"/>
              <w:ind w:firstLine="480" w:firstLineChars="200"/>
              <w:jc w:val="both"/>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2023年</w:t>
            </w:r>
            <w:r>
              <w:rPr>
                <w:rFonts w:hint="eastAsia" w:cs="Times New Roman"/>
                <w:b w:val="0"/>
                <w:bCs w:val="0"/>
                <w:color w:val="auto"/>
                <w:sz w:val="24"/>
                <w:szCs w:val="24"/>
                <w:lang w:val="en-US" w:eastAsia="zh-CN"/>
              </w:rPr>
              <w:t>10</w:t>
            </w:r>
            <w:r>
              <w:rPr>
                <w:rFonts w:hint="default" w:ascii="Times New Roman" w:hAnsi="Times New Roman" w:cs="Times New Roman"/>
                <w:b w:val="0"/>
                <w:bCs w:val="0"/>
                <w:color w:val="auto"/>
                <w:sz w:val="24"/>
                <w:szCs w:val="24"/>
                <w:lang w:eastAsia="zh-CN"/>
              </w:rPr>
              <w:t>月1</w:t>
            </w:r>
            <w:r>
              <w:rPr>
                <w:rFonts w:hint="eastAsia" w:cs="Times New Roman"/>
                <w:b w:val="0"/>
                <w:bCs w:val="0"/>
                <w:color w:val="auto"/>
                <w:sz w:val="24"/>
                <w:szCs w:val="24"/>
                <w:lang w:val="en-US" w:eastAsia="zh-CN"/>
              </w:rPr>
              <w:t>2</w:t>
            </w:r>
            <w:r>
              <w:rPr>
                <w:rFonts w:hint="default" w:ascii="Times New Roman" w:hAnsi="Times New Roman" w:cs="Times New Roman"/>
                <w:b w:val="0"/>
                <w:bCs w:val="0"/>
                <w:color w:val="auto"/>
                <w:sz w:val="24"/>
                <w:szCs w:val="24"/>
                <w:lang w:eastAsia="zh-CN"/>
              </w:rPr>
              <w:t>日~</w:t>
            </w:r>
            <w:r>
              <w:rPr>
                <w:rFonts w:hint="eastAsia" w:cs="Times New Roman"/>
                <w:b w:val="0"/>
                <w:bCs w:val="0"/>
                <w:color w:val="auto"/>
                <w:sz w:val="24"/>
                <w:szCs w:val="24"/>
                <w:lang w:val="en-US" w:eastAsia="zh-CN"/>
              </w:rPr>
              <w:t>10</w:t>
            </w:r>
            <w:r>
              <w:rPr>
                <w:rFonts w:hint="default" w:ascii="Times New Roman" w:hAnsi="Times New Roman" w:cs="Times New Roman"/>
                <w:b w:val="0"/>
                <w:bCs w:val="0"/>
                <w:color w:val="auto"/>
                <w:sz w:val="24"/>
                <w:szCs w:val="24"/>
                <w:lang w:eastAsia="zh-CN"/>
              </w:rPr>
              <w:t>月1</w:t>
            </w:r>
            <w:r>
              <w:rPr>
                <w:rFonts w:hint="eastAsia"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eastAsia="zh-CN"/>
              </w:rPr>
              <w:t>日，淄博国源检测有限公司对</w:t>
            </w:r>
            <w:r>
              <w:rPr>
                <w:rFonts w:hint="eastAsia" w:cs="Times New Roman"/>
                <w:b w:val="0"/>
                <w:bCs w:val="0"/>
                <w:color w:val="auto"/>
                <w:sz w:val="24"/>
                <w:szCs w:val="24"/>
                <w:lang w:val="en-US" w:eastAsia="zh-CN"/>
              </w:rPr>
              <w:t>拟建项目依托的环保设备（二级活性炭吸附装置）进口及DA001排气筒出口</w:t>
            </w:r>
            <w:r>
              <w:rPr>
                <w:rFonts w:hint="default" w:ascii="Times New Roman" w:hAnsi="Times New Roman" w:cs="Times New Roman"/>
                <w:b w:val="0"/>
                <w:bCs w:val="0"/>
                <w:color w:val="auto"/>
                <w:sz w:val="24"/>
                <w:szCs w:val="24"/>
                <w:lang w:eastAsia="zh-CN"/>
              </w:rPr>
              <w:t>废气进行检测，检测结果如下：</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jc w:val="center"/>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b/>
                <w:bCs/>
                <w:sz w:val="24"/>
                <w:szCs w:val="24"/>
              </w:rPr>
              <w:t>表</w:t>
            </w:r>
            <w:r>
              <w:rPr>
                <w:rFonts w:hint="eastAsia" w:ascii="Times New Roman" w:hAnsi="Times New Roman" w:cs="Times New Roman"/>
                <w:b/>
                <w:bCs/>
                <w:sz w:val="24"/>
                <w:szCs w:val="24"/>
                <w:lang w:val="en-US" w:eastAsia="zh-CN"/>
              </w:rPr>
              <w:t>9-1</w:t>
            </w:r>
            <w:r>
              <w:rPr>
                <w:rFonts w:hint="default" w:ascii="Times New Roman" w:hAnsi="Times New Roman" w:cs="Times New Roman"/>
                <w:b/>
                <w:bCs/>
                <w:sz w:val="24"/>
                <w:szCs w:val="24"/>
              </w:rPr>
              <w:t xml:space="preserve"> </w:t>
            </w:r>
            <w:r>
              <w:rPr>
                <w:rFonts w:hint="eastAsia" w:ascii="Times New Roman" w:hAnsi="Times New Roman" w:cs="Times New Roman"/>
                <w:b/>
                <w:bCs/>
                <w:sz w:val="24"/>
                <w:szCs w:val="24"/>
                <w:lang w:val="en-US" w:eastAsia="zh-CN"/>
              </w:rPr>
              <w:t xml:space="preserve"> 项目废气</w:t>
            </w:r>
            <w:r>
              <w:rPr>
                <w:rFonts w:hint="default" w:ascii="Times New Roman" w:hAnsi="Times New Roman" w:cs="Times New Roman"/>
                <w:b/>
                <w:bCs/>
                <w:sz w:val="24"/>
                <w:szCs w:val="24"/>
              </w:rPr>
              <w:t>检测结果一览表</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1985"/>
              <w:gridCol w:w="1501"/>
              <w:gridCol w:w="1501"/>
              <w:gridCol w:w="1506"/>
              <w:gridCol w:w="11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7"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r>
                    <w:rPr>
                      <w:rFonts w:hint="eastAsia" w:eastAsia="宋体"/>
                      <w:b/>
                      <w:color w:val="000000"/>
                      <w:sz w:val="21"/>
                      <w:szCs w:val="21"/>
                      <w:highlight w:val="none"/>
                    </w:rPr>
                    <w:t>采样</w:t>
                  </w:r>
                </w:p>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r>
                    <w:rPr>
                      <w:rFonts w:hint="eastAsia" w:eastAsia="宋体"/>
                      <w:b/>
                      <w:color w:val="000000"/>
                      <w:sz w:val="21"/>
                      <w:szCs w:val="21"/>
                      <w:highlight w:val="none"/>
                    </w:rPr>
                    <w:t>点位</w:t>
                  </w:r>
                </w:p>
              </w:tc>
              <w:tc>
                <w:tcPr>
                  <w:tcW w:w="1103"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r>
                    <w:rPr>
                      <w:rFonts w:hint="eastAsia" w:eastAsia="宋体"/>
                      <w:b/>
                      <w:color w:val="000000"/>
                      <w:sz w:val="21"/>
                      <w:szCs w:val="21"/>
                      <w:highlight w:val="none"/>
                    </w:rPr>
                    <w:t>监测项目</w:t>
                  </w:r>
                </w:p>
              </w:tc>
              <w:tc>
                <w:tcPr>
                  <w:tcW w:w="2505" w:type="pct"/>
                  <w:gridSpan w:val="3"/>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r>
                    <w:rPr>
                      <w:rFonts w:eastAsia="宋体"/>
                      <w:b/>
                      <w:color w:val="000000"/>
                      <w:sz w:val="21"/>
                      <w:szCs w:val="21"/>
                      <w:highlight w:val="none"/>
                    </w:rPr>
                    <w:t>20</w:t>
                  </w:r>
                  <w:r>
                    <w:rPr>
                      <w:rFonts w:hint="eastAsia" w:eastAsia="宋体"/>
                      <w:b/>
                      <w:color w:val="000000"/>
                      <w:sz w:val="21"/>
                      <w:szCs w:val="21"/>
                      <w:highlight w:val="none"/>
                    </w:rPr>
                    <w:t>23</w:t>
                  </w:r>
                  <w:r>
                    <w:rPr>
                      <w:rFonts w:eastAsia="宋体"/>
                      <w:b/>
                      <w:color w:val="000000"/>
                      <w:sz w:val="21"/>
                      <w:szCs w:val="21"/>
                      <w:highlight w:val="none"/>
                    </w:rPr>
                    <w:t>年</w:t>
                  </w:r>
                  <w:r>
                    <w:rPr>
                      <w:rFonts w:hint="eastAsia" w:eastAsia="宋体"/>
                      <w:b/>
                      <w:color w:val="000000"/>
                      <w:sz w:val="21"/>
                      <w:szCs w:val="21"/>
                      <w:highlight w:val="none"/>
                    </w:rPr>
                    <w:t>10月12日采样监测结果</w:t>
                  </w:r>
                </w:p>
              </w:tc>
              <w:tc>
                <w:tcPr>
                  <w:tcW w:w="664"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r>
                    <w:rPr>
                      <w:rFonts w:hint="eastAsia" w:eastAsia="宋体"/>
                      <w:b/>
                      <w:color w:val="000000"/>
                      <w:sz w:val="21"/>
                      <w:szCs w:val="21"/>
                      <w:highlight w:val="none"/>
                    </w:rPr>
                    <w:t>排气筒高度</w:t>
                  </w:r>
                  <w:r>
                    <w:rPr>
                      <w:rFonts w:eastAsia="宋体"/>
                      <w:b/>
                      <w:color w:val="000000"/>
                      <w:sz w:val="21"/>
                      <w:szCs w:val="21"/>
                      <w:highlight w:val="none"/>
                    </w:rPr>
                    <w:t>/</w:t>
                  </w:r>
                  <w:r>
                    <w:rPr>
                      <w:rFonts w:hint="eastAsia" w:eastAsia="宋体"/>
                      <w:b/>
                      <w:color w:val="000000"/>
                      <w:sz w:val="21"/>
                      <w:szCs w:val="21"/>
                      <w:highlight w:val="none"/>
                    </w:rPr>
                    <w:t>内径（</w:t>
                  </w:r>
                  <w:r>
                    <w:rPr>
                      <w:rFonts w:eastAsia="宋体"/>
                      <w:b/>
                      <w:color w:val="000000"/>
                      <w:sz w:val="21"/>
                      <w:szCs w:val="21"/>
                      <w:highlight w:val="none"/>
                    </w:rPr>
                    <w:t>m</w:t>
                  </w:r>
                  <w:r>
                    <w:rPr>
                      <w:rFonts w:hint="eastAsia" w:eastAsia="宋体"/>
                      <w:b/>
                      <w:color w:val="00000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p>
              </w:tc>
              <w:tc>
                <w:tcPr>
                  <w:tcW w:w="1103"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r>
                    <w:rPr>
                      <w:rFonts w:hint="eastAsia" w:eastAsia="宋体"/>
                      <w:b/>
                      <w:color w:val="000000"/>
                      <w:sz w:val="21"/>
                      <w:szCs w:val="21"/>
                      <w:highlight w:val="none"/>
                    </w:rPr>
                    <w:t>频次</w:t>
                  </w:r>
                  <w:r>
                    <w:rPr>
                      <w:rFonts w:eastAsia="宋体"/>
                      <w:b/>
                      <w:color w:val="000000"/>
                      <w:sz w:val="21"/>
                      <w:szCs w:val="21"/>
                      <w:highlight w:val="none"/>
                    </w:rPr>
                    <w:t>1</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r>
                    <w:rPr>
                      <w:rFonts w:hint="eastAsia" w:eastAsia="宋体"/>
                      <w:b/>
                      <w:color w:val="000000"/>
                      <w:sz w:val="21"/>
                      <w:szCs w:val="21"/>
                      <w:highlight w:val="none"/>
                    </w:rPr>
                    <w:t>频次</w:t>
                  </w:r>
                  <w:r>
                    <w:rPr>
                      <w:rFonts w:eastAsia="宋体"/>
                      <w:b/>
                      <w:color w:val="000000"/>
                      <w:sz w:val="21"/>
                      <w:szCs w:val="21"/>
                      <w:highlight w:val="none"/>
                    </w:rPr>
                    <w:t>2</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r>
                    <w:rPr>
                      <w:rFonts w:hint="eastAsia" w:eastAsia="宋体"/>
                      <w:b/>
                      <w:color w:val="000000"/>
                      <w:sz w:val="21"/>
                      <w:szCs w:val="21"/>
                      <w:highlight w:val="none"/>
                    </w:rPr>
                    <w:t>频次</w:t>
                  </w:r>
                  <w:r>
                    <w:rPr>
                      <w:rFonts w:eastAsia="宋体"/>
                      <w:b/>
                      <w:color w:val="000000"/>
                      <w:sz w:val="21"/>
                      <w:szCs w:val="21"/>
                      <w:highlight w:val="none"/>
                    </w:rPr>
                    <w:t>3</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color w:val="000000"/>
                      <w:sz w:val="21"/>
                      <w:szCs w:val="21"/>
                      <w:highlight w:val="none"/>
                      <w:lang w:eastAsia="zh-CN"/>
                    </w:rPr>
                  </w:pPr>
                  <w:r>
                    <w:rPr>
                      <w:rFonts w:hint="eastAsia"/>
                      <w:bCs/>
                      <w:color w:val="000000"/>
                      <w:sz w:val="21"/>
                      <w:szCs w:val="21"/>
                      <w:highlight w:val="none"/>
                    </w:rPr>
                    <w:t>拟建项目环保设备进口</w:t>
                  </w:r>
                  <w:r>
                    <w:rPr>
                      <w:rFonts w:hint="eastAsia"/>
                      <w:bCs/>
                      <w:color w:val="000000"/>
                      <w:sz w:val="21"/>
                      <w:szCs w:val="21"/>
                      <w:highlight w:val="none"/>
                      <w:lang w:eastAsia="zh-CN"/>
                    </w:rPr>
                    <w:t>（</w:t>
                  </w:r>
                  <w:r>
                    <w:rPr>
                      <w:rFonts w:hint="eastAsia"/>
                      <w:bCs/>
                      <w:color w:val="000000"/>
                      <w:sz w:val="21"/>
                      <w:szCs w:val="21"/>
                      <w:highlight w:val="none"/>
                      <w:lang w:val="en-US" w:eastAsia="zh-CN"/>
                    </w:rPr>
                    <w:t>DA001</w:t>
                  </w:r>
                  <w:r>
                    <w:rPr>
                      <w:rFonts w:hint="eastAsia"/>
                      <w:bCs/>
                      <w:color w:val="000000"/>
                      <w:sz w:val="21"/>
                      <w:szCs w:val="21"/>
                      <w:highlight w:val="none"/>
                      <w:lang w:eastAsia="zh-CN"/>
                    </w:rPr>
                    <w:t>）</w:t>
                  </w:r>
                </w:p>
              </w:tc>
              <w:tc>
                <w:tcPr>
                  <w:tcW w:w="110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jc w:val="left"/>
                    <w:textAlignment w:val="auto"/>
                    <w:rPr>
                      <w:rFonts w:eastAsia="宋体"/>
                      <w:color w:val="000000"/>
                      <w:sz w:val="21"/>
                      <w:szCs w:val="21"/>
                      <w:highlight w:val="none"/>
                    </w:rPr>
                  </w:pPr>
                  <w:r>
                    <w:rPr>
                      <w:rFonts w:hint="eastAsia" w:eastAsia="宋体"/>
                      <w:color w:val="000000"/>
                      <w:sz w:val="21"/>
                      <w:szCs w:val="21"/>
                      <w:highlight w:val="none"/>
                    </w:rPr>
                    <w:t>烟气流速（m/s）</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1.86</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1.87</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1.87</w:t>
                  </w:r>
                </w:p>
              </w:tc>
              <w:tc>
                <w:tcPr>
                  <w:tcW w:w="664"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c>
                <w:tcPr>
                  <w:tcW w:w="110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jc w:val="left"/>
                    <w:textAlignment w:val="auto"/>
                    <w:rPr>
                      <w:rFonts w:eastAsia="宋体"/>
                      <w:color w:val="000000"/>
                      <w:sz w:val="21"/>
                      <w:szCs w:val="21"/>
                      <w:highlight w:val="none"/>
                    </w:rPr>
                  </w:pPr>
                  <w:r>
                    <w:rPr>
                      <w:rFonts w:hint="eastAsia" w:eastAsia="宋体"/>
                      <w:color w:val="000000"/>
                      <w:sz w:val="21"/>
                      <w:szCs w:val="21"/>
                      <w:highlight w:val="none"/>
                    </w:rPr>
                    <w:t>烟气温度（℃）</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24</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25</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26</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c>
                <w:tcPr>
                  <w:tcW w:w="110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jc w:val="left"/>
                    <w:textAlignment w:val="auto"/>
                    <w:rPr>
                      <w:rFonts w:eastAsia="宋体"/>
                      <w:color w:val="000000"/>
                      <w:sz w:val="21"/>
                      <w:szCs w:val="21"/>
                      <w:highlight w:val="none"/>
                    </w:rPr>
                  </w:pPr>
                  <w:r>
                    <w:rPr>
                      <w:rFonts w:hint="eastAsia" w:eastAsia="宋体"/>
                      <w:color w:val="000000"/>
                      <w:sz w:val="21"/>
                      <w:szCs w:val="21"/>
                      <w:highlight w:val="none"/>
                    </w:rPr>
                    <w:t>含湿量%</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1.8</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1.7</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1.8</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c>
                <w:tcPr>
                  <w:tcW w:w="110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jc w:val="left"/>
                    <w:textAlignment w:val="auto"/>
                    <w:rPr>
                      <w:rFonts w:eastAsia="宋体"/>
                      <w:color w:val="000000"/>
                      <w:sz w:val="21"/>
                      <w:szCs w:val="21"/>
                      <w:highlight w:val="none"/>
                    </w:rPr>
                  </w:pPr>
                  <w:r>
                    <w:rPr>
                      <w:rFonts w:eastAsia="宋体"/>
                      <w:color w:val="000000"/>
                      <w:sz w:val="21"/>
                      <w:szCs w:val="21"/>
                      <w:highlight w:val="none"/>
                    </w:rPr>
                    <w:t>标干流量（</w:t>
                  </w:r>
                  <w:r>
                    <w:rPr>
                      <w:rFonts w:hint="eastAsia" w:eastAsia="宋体"/>
                      <w:color w:val="000000"/>
                      <w:sz w:val="21"/>
                      <w:szCs w:val="21"/>
                      <w:highlight w:val="none"/>
                    </w:rPr>
                    <w:t>N</w:t>
                  </w:r>
                  <w:r>
                    <w:rPr>
                      <w:rFonts w:eastAsia="宋体"/>
                      <w:color w:val="000000"/>
                      <w:sz w:val="21"/>
                      <w:szCs w:val="21"/>
                      <w:highlight w:val="none"/>
                    </w:rPr>
                    <w:t>m</w:t>
                  </w:r>
                  <w:r>
                    <w:rPr>
                      <w:rFonts w:eastAsia="宋体"/>
                      <w:color w:val="000000"/>
                      <w:sz w:val="21"/>
                      <w:szCs w:val="21"/>
                      <w:highlight w:val="none"/>
                      <w:vertAlign w:val="superscript"/>
                    </w:rPr>
                    <w:t>3</w:t>
                  </w:r>
                  <w:r>
                    <w:rPr>
                      <w:rFonts w:eastAsia="宋体"/>
                      <w:color w:val="000000"/>
                      <w:sz w:val="21"/>
                      <w:szCs w:val="21"/>
                      <w:highlight w:val="none"/>
                    </w:rPr>
                    <w:t>/h）</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3019.453</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3016.845</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3009.784</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c>
                <w:tcPr>
                  <w:tcW w:w="1103" w:type="pct"/>
                  <w:tcBorders>
                    <w:tl2br w:val="nil"/>
                    <w:tr2bl w:val="nil"/>
                  </w:tcBorders>
                  <w:vAlign w:val="center"/>
                </w:tcPr>
                <w:p>
                  <w:pPr>
                    <w:pStyle w:val="25"/>
                    <w:jc w:val="left"/>
                    <w:rPr>
                      <w:rFonts w:eastAsia="宋体"/>
                      <w:color w:val="000000"/>
                      <w:sz w:val="21"/>
                      <w:szCs w:val="21"/>
                      <w:highlight w:val="none"/>
                    </w:rPr>
                  </w:pPr>
                  <w:r>
                    <w:rPr>
                      <w:rFonts w:ascii="Times New Roman" w:hAnsi="Times New Roman" w:eastAsia="宋体" w:cs="Times New Roman"/>
                      <w:sz w:val="21"/>
                      <w:szCs w:val="21"/>
                      <w:highlight w:val="none"/>
                    </w:rPr>
                    <w:t>VOCs</w:t>
                  </w:r>
                  <w:r>
                    <w:rPr>
                      <w:rFonts w:hint="eastAsia"/>
                      <w:bCs/>
                      <w:sz w:val="21"/>
                      <w:szCs w:val="21"/>
                      <w:highlight w:val="none"/>
                    </w:rPr>
                    <w:t>（以非甲烷总烃计）</w:t>
                  </w:r>
                  <w:r>
                    <w:rPr>
                      <w:rFonts w:hint="eastAsia" w:eastAsia="宋体"/>
                      <w:color w:val="000000"/>
                      <w:sz w:val="21"/>
                      <w:szCs w:val="21"/>
                      <w:highlight w:val="none"/>
                    </w:rPr>
                    <w:t>样品编号</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QY2310A051</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QY2310A052</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QY2310A053</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c>
                <w:tcPr>
                  <w:tcW w:w="110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jc w:val="both"/>
                    <w:textAlignment w:val="auto"/>
                    <w:rPr>
                      <w:rFonts w:eastAsia="宋体"/>
                      <w:color w:val="000000"/>
                      <w:sz w:val="21"/>
                      <w:szCs w:val="21"/>
                      <w:highlight w:val="none"/>
                    </w:rPr>
                  </w:pPr>
                  <w:r>
                    <w:rPr>
                      <w:sz w:val="21"/>
                      <w:szCs w:val="21"/>
                      <w:highlight w:val="none"/>
                    </w:rPr>
                    <w:t>VOCs</w:t>
                  </w:r>
                  <w:r>
                    <w:rPr>
                      <w:rFonts w:hint="eastAsia"/>
                      <w:bCs/>
                      <w:sz w:val="21"/>
                      <w:szCs w:val="21"/>
                      <w:highlight w:val="none"/>
                    </w:rPr>
                    <w:t>（以非甲烷总烃计）</w:t>
                  </w:r>
                  <w:r>
                    <w:rPr>
                      <w:rFonts w:eastAsia="宋体"/>
                      <w:color w:val="000000"/>
                      <w:sz w:val="21"/>
                      <w:szCs w:val="21"/>
                      <w:highlight w:val="none"/>
                    </w:rPr>
                    <w:t>排放</w:t>
                  </w:r>
                  <w:r>
                    <w:rPr>
                      <w:rFonts w:ascii="Times New Roman" w:hAnsi="Times New Roman" w:eastAsia="宋体" w:cs="Times New Roman"/>
                      <w:sz w:val="21"/>
                      <w:szCs w:val="21"/>
                      <w:highlight w:val="none"/>
                    </w:rPr>
                    <w:t>浓度</w:t>
                  </w:r>
                  <w:r>
                    <w:rPr>
                      <w:rFonts w:eastAsia="宋体"/>
                      <w:color w:val="000000"/>
                      <w:sz w:val="21"/>
                      <w:szCs w:val="21"/>
                      <w:highlight w:val="none"/>
                    </w:rPr>
                    <w:t>（mg/m</w:t>
                  </w:r>
                  <w:r>
                    <w:rPr>
                      <w:rFonts w:eastAsia="宋体"/>
                      <w:color w:val="000000"/>
                      <w:sz w:val="21"/>
                      <w:szCs w:val="21"/>
                      <w:highlight w:val="none"/>
                      <w:vertAlign w:val="superscript"/>
                    </w:rPr>
                    <w:t>3</w:t>
                  </w:r>
                  <w:r>
                    <w:rPr>
                      <w:rFonts w:eastAsia="宋体"/>
                      <w:color w:val="000000"/>
                      <w:sz w:val="21"/>
                      <w:szCs w:val="21"/>
                      <w:highlight w:val="none"/>
                    </w:rPr>
                    <w:t>）</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184</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169</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140</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c>
                <w:tcPr>
                  <w:tcW w:w="110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jc w:val="both"/>
                    <w:textAlignment w:val="auto"/>
                    <w:rPr>
                      <w:rFonts w:eastAsia="宋体"/>
                      <w:color w:val="000000"/>
                      <w:sz w:val="21"/>
                      <w:szCs w:val="21"/>
                      <w:highlight w:val="none"/>
                    </w:rPr>
                  </w:pPr>
                  <w:r>
                    <w:rPr>
                      <w:sz w:val="21"/>
                      <w:szCs w:val="21"/>
                      <w:highlight w:val="none"/>
                    </w:rPr>
                    <w:t>VOCs</w:t>
                  </w:r>
                  <w:r>
                    <w:rPr>
                      <w:rFonts w:hint="eastAsia"/>
                      <w:bCs/>
                      <w:sz w:val="21"/>
                      <w:szCs w:val="21"/>
                      <w:highlight w:val="none"/>
                    </w:rPr>
                    <w:t>（以非甲烷总烃计）</w:t>
                  </w:r>
                  <w:r>
                    <w:rPr>
                      <w:rFonts w:eastAsia="宋体"/>
                      <w:color w:val="000000"/>
                      <w:sz w:val="21"/>
                      <w:szCs w:val="21"/>
                      <w:highlight w:val="none"/>
                    </w:rPr>
                    <w:t>排放速率（kg/h）</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0.56</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0.51</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0.42</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27"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hint="eastAsia"/>
                      <w:bCs/>
                      <w:color w:val="000000"/>
                      <w:sz w:val="21"/>
                      <w:szCs w:val="21"/>
                      <w:highlight w:val="none"/>
                    </w:rPr>
                  </w:pPr>
                  <w:r>
                    <w:rPr>
                      <w:rFonts w:hint="eastAsia"/>
                      <w:bCs/>
                      <w:color w:val="000000"/>
                      <w:sz w:val="21"/>
                      <w:szCs w:val="21"/>
                      <w:highlight w:val="none"/>
                    </w:rPr>
                    <w:t>废气处理设备排气筒出口</w:t>
                  </w:r>
                </w:p>
                <w:p>
                  <w:pPr>
                    <w:pStyle w:val="25"/>
                    <w:keepNext w:val="0"/>
                    <w:keepLines w:val="0"/>
                    <w:pageBreakBefore w:val="0"/>
                    <w:widowControl w:val="0"/>
                    <w:kinsoku/>
                    <w:wordWrap/>
                    <w:overflowPunct/>
                    <w:topLinePunct w:val="0"/>
                    <w:autoSpaceDE/>
                    <w:autoSpaceDN/>
                    <w:bidi w:val="0"/>
                    <w:adjustRightInd/>
                    <w:snapToGrid/>
                    <w:textAlignment w:val="auto"/>
                    <w:rPr>
                      <w:rFonts w:hint="eastAsia" w:eastAsia="宋体"/>
                      <w:bCs/>
                      <w:color w:val="000000"/>
                      <w:sz w:val="21"/>
                      <w:szCs w:val="21"/>
                      <w:highlight w:val="none"/>
                      <w:lang w:eastAsia="zh-CN"/>
                    </w:rPr>
                  </w:pPr>
                  <w:r>
                    <w:rPr>
                      <w:rFonts w:hint="eastAsia"/>
                      <w:bCs/>
                      <w:color w:val="000000"/>
                      <w:sz w:val="21"/>
                      <w:szCs w:val="21"/>
                      <w:highlight w:val="none"/>
                      <w:lang w:eastAsia="zh-CN"/>
                    </w:rPr>
                    <w:t>（</w:t>
                  </w:r>
                  <w:r>
                    <w:rPr>
                      <w:rFonts w:hint="eastAsia"/>
                      <w:bCs/>
                      <w:color w:val="000000"/>
                      <w:sz w:val="21"/>
                      <w:szCs w:val="21"/>
                      <w:highlight w:val="none"/>
                      <w:lang w:val="en-US" w:eastAsia="zh-CN"/>
                    </w:rPr>
                    <w:t>DA001</w:t>
                  </w:r>
                  <w:r>
                    <w:rPr>
                      <w:rFonts w:hint="eastAsia"/>
                      <w:bCs/>
                      <w:color w:val="000000"/>
                      <w:sz w:val="21"/>
                      <w:szCs w:val="21"/>
                      <w:highlight w:val="none"/>
                      <w:lang w:eastAsia="zh-CN"/>
                    </w:rPr>
                    <w:t>）</w:t>
                  </w:r>
                </w:p>
              </w:tc>
              <w:tc>
                <w:tcPr>
                  <w:tcW w:w="110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jc w:val="left"/>
                    <w:textAlignment w:val="auto"/>
                    <w:rPr>
                      <w:rFonts w:eastAsia="宋体"/>
                      <w:color w:val="000000"/>
                      <w:sz w:val="21"/>
                      <w:szCs w:val="21"/>
                      <w:highlight w:val="none"/>
                    </w:rPr>
                  </w:pPr>
                  <w:r>
                    <w:rPr>
                      <w:rFonts w:hint="eastAsia" w:eastAsia="宋体"/>
                      <w:color w:val="000000"/>
                      <w:sz w:val="21"/>
                      <w:szCs w:val="21"/>
                      <w:highlight w:val="none"/>
                    </w:rPr>
                    <w:t>烟气流速（m/s）</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3.39</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3.39</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3.40</w:t>
                  </w:r>
                </w:p>
              </w:tc>
              <w:tc>
                <w:tcPr>
                  <w:tcW w:w="664"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25/0.50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c>
                <w:tcPr>
                  <w:tcW w:w="110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jc w:val="left"/>
                    <w:textAlignment w:val="auto"/>
                    <w:rPr>
                      <w:rFonts w:eastAsia="宋体"/>
                      <w:color w:val="000000"/>
                      <w:sz w:val="21"/>
                      <w:szCs w:val="21"/>
                      <w:highlight w:val="none"/>
                    </w:rPr>
                  </w:pPr>
                  <w:r>
                    <w:rPr>
                      <w:rFonts w:hint="eastAsia" w:eastAsia="宋体"/>
                      <w:color w:val="000000"/>
                      <w:sz w:val="21"/>
                      <w:szCs w:val="21"/>
                      <w:highlight w:val="none"/>
                    </w:rPr>
                    <w:t>烟气温度（℃）</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22</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23</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24</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c>
                <w:tcPr>
                  <w:tcW w:w="110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jc w:val="left"/>
                    <w:textAlignment w:val="auto"/>
                    <w:rPr>
                      <w:rFonts w:eastAsia="宋体"/>
                      <w:color w:val="000000"/>
                      <w:sz w:val="21"/>
                      <w:szCs w:val="21"/>
                      <w:highlight w:val="none"/>
                    </w:rPr>
                  </w:pPr>
                  <w:r>
                    <w:rPr>
                      <w:rFonts w:hint="eastAsia" w:eastAsia="宋体"/>
                      <w:color w:val="000000"/>
                      <w:sz w:val="21"/>
                      <w:szCs w:val="21"/>
                      <w:highlight w:val="none"/>
                    </w:rPr>
                    <w:t>含湿量%</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1.5</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1.4</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1.3</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c>
                <w:tcPr>
                  <w:tcW w:w="110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jc w:val="left"/>
                    <w:textAlignment w:val="auto"/>
                    <w:rPr>
                      <w:rFonts w:eastAsia="宋体"/>
                      <w:color w:val="000000"/>
                      <w:sz w:val="21"/>
                      <w:szCs w:val="21"/>
                      <w:highlight w:val="none"/>
                    </w:rPr>
                  </w:pPr>
                  <w:r>
                    <w:rPr>
                      <w:rFonts w:eastAsia="宋体"/>
                      <w:color w:val="000000"/>
                      <w:sz w:val="21"/>
                      <w:szCs w:val="21"/>
                      <w:highlight w:val="none"/>
                    </w:rPr>
                    <w:t>标干流量（</w:t>
                  </w:r>
                  <w:r>
                    <w:rPr>
                      <w:rFonts w:hint="eastAsia" w:eastAsia="宋体"/>
                      <w:color w:val="000000"/>
                      <w:sz w:val="21"/>
                      <w:szCs w:val="21"/>
                      <w:highlight w:val="none"/>
                    </w:rPr>
                    <w:t>N</w:t>
                  </w:r>
                  <w:r>
                    <w:rPr>
                      <w:rFonts w:eastAsia="宋体"/>
                      <w:color w:val="000000"/>
                      <w:sz w:val="21"/>
                      <w:szCs w:val="21"/>
                      <w:highlight w:val="none"/>
                    </w:rPr>
                    <w:t>m</w:t>
                  </w:r>
                  <w:r>
                    <w:rPr>
                      <w:rFonts w:eastAsia="宋体"/>
                      <w:color w:val="000000"/>
                      <w:sz w:val="21"/>
                      <w:szCs w:val="21"/>
                      <w:highlight w:val="none"/>
                      <w:vertAlign w:val="superscript"/>
                    </w:rPr>
                    <w:t>3</w:t>
                  </w:r>
                  <w:r>
                    <w:rPr>
                      <w:rFonts w:eastAsia="宋体"/>
                      <w:color w:val="000000"/>
                      <w:sz w:val="21"/>
                      <w:szCs w:val="21"/>
                      <w:highlight w:val="none"/>
                    </w:rPr>
                    <w:t>/h）</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3135.346</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3133.057</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3130.167</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c>
                <w:tcPr>
                  <w:tcW w:w="1103" w:type="pct"/>
                  <w:tcBorders>
                    <w:tl2br w:val="nil"/>
                    <w:tr2bl w:val="nil"/>
                  </w:tcBorders>
                  <w:vAlign w:val="center"/>
                </w:tcPr>
                <w:p>
                  <w:pPr>
                    <w:pStyle w:val="25"/>
                    <w:jc w:val="both"/>
                    <w:rPr>
                      <w:rFonts w:eastAsia="宋体"/>
                      <w:color w:val="000000"/>
                      <w:sz w:val="21"/>
                      <w:szCs w:val="21"/>
                      <w:highlight w:val="none"/>
                    </w:rPr>
                  </w:pPr>
                  <w:r>
                    <w:rPr>
                      <w:rFonts w:hint="eastAsia"/>
                      <w:sz w:val="21"/>
                      <w:szCs w:val="21"/>
                      <w:highlight w:val="none"/>
                    </w:rPr>
                    <w:t>VOCs（以非甲烷总烃计）样品编号</w:t>
                  </w:r>
                </w:p>
              </w:tc>
              <w:tc>
                <w:tcPr>
                  <w:tcW w:w="834" w:type="pct"/>
                  <w:tcBorders>
                    <w:tl2br w:val="nil"/>
                    <w:tr2bl w:val="nil"/>
                  </w:tcBorders>
                  <w:vAlign w:val="center"/>
                </w:tcPr>
                <w:p>
                  <w:pPr>
                    <w:pStyle w:val="25"/>
                    <w:rPr>
                      <w:rFonts w:eastAsia="宋体"/>
                      <w:color w:val="000000"/>
                      <w:sz w:val="21"/>
                      <w:szCs w:val="21"/>
                      <w:highlight w:val="none"/>
                    </w:rPr>
                  </w:pPr>
                  <w:r>
                    <w:rPr>
                      <w:rFonts w:hint="eastAsia" w:eastAsia="宋体"/>
                      <w:color w:val="000000"/>
                      <w:sz w:val="21"/>
                      <w:szCs w:val="21"/>
                      <w:highlight w:val="none"/>
                    </w:rPr>
                    <w:t>QY2310A054</w:t>
                  </w:r>
                </w:p>
              </w:tc>
              <w:tc>
                <w:tcPr>
                  <w:tcW w:w="834" w:type="pct"/>
                  <w:tcBorders>
                    <w:tl2br w:val="nil"/>
                    <w:tr2bl w:val="nil"/>
                  </w:tcBorders>
                  <w:vAlign w:val="center"/>
                </w:tcPr>
                <w:p>
                  <w:pPr>
                    <w:pStyle w:val="25"/>
                    <w:rPr>
                      <w:rFonts w:eastAsia="宋体"/>
                      <w:color w:val="000000"/>
                      <w:sz w:val="21"/>
                      <w:szCs w:val="21"/>
                      <w:highlight w:val="none"/>
                    </w:rPr>
                  </w:pPr>
                  <w:r>
                    <w:rPr>
                      <w:rFonts w:hint="eastAsia" w:eastAsia="宋体"/>
                      <w:color w:val="000000"/>
                      <w:sz w:val="21"/>
                      <w:szCs w:val="21"/>
                      <w:highlight w:val="none"/>
                    </w:rPr>
                    <w:t>QY2310A055</w:t>
                  </w:r>
                </w:p>
              </w:tc>
              <w:tc>
                <w:tcPr>
                  <w:tcW w:w="835" w:type="pct"/>
                  <w:tcBorders>
                    <w:tl2br w:val="nil"/>
                    <w:tr2bl w:val="nil"/>
                  </w:tcBorders>
                  <w:vAlign w:val="center"/>
                </w:tcPr>
                <w:p>
                  <w:pPr>
                    <w:pStyle w:val="25"/>
                    <w:rPr>
                      <w:rFonts w:eastAsia="宋体"/>
                      <w:color w:val="000000"/>
                      <w:sz w:val="21"/>
                      <w:szCs w:val="21"/>
                      <w:highlight w:val="none"/>
                    </w:rPr>
                  </w:pPr>
                  <w:r>
                    <w:rPr>
                      <w:rFonts w:hint="eastAsia" w:eastAsia="宋体"/>
                      <w:color w:val="000000"/>
                      <w:sz w:val="21"/>
                      <w:szCs w:val="21"/>
                      <w:highlight w:val="none"/>
                    </w:rPr>
                    <w:t>QY2310A056</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7" w:hRule="exact"/>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c>
                <w:tcPr>
                  <w:tcW w:w="1103" w:type="pct"/>
                  <w:tcBorders>
                    <w:tl2br w:val="nil"/>
                    <w:tr2bl w:val="nil"/>
                  </w:tcBorders>
                  <w:vAlign w:val="center"/>
                </w:tcPr>
                <w:p>
                  <w:pPr>
                    <w:pStyle w:val="25"/>
                    <w:jc w:val="both"/>
                    <w:rPr>
                      <w:rFonts w:eastAsia="宋体"/>
                      <w:color w:val="000000"/>
                      <w:sz w:val="21"/>
                      <w:szCs w:val="21"/>
                      <w:highlight w:val="none"/>
                    </w:rPr>
                  </w:pPr>
                  <w:r>
                    <w:rPr>
                      <w:sz w:val="21"/>
                      <w:szCs w:val="21"/>
                      <w:highlight w:val="none"/>
                    </w:rPr>
                    <w:t>VOCs</w:t>
                  </w:r>
                  <w:r>
                    <w:rPr>
                      <w:rFonts w:hint="eastAsia"/>
                      <w:bCs/>
                      <w:sz w:val="21"/>
                      <w:szCs w:val="21"/>
                      <w:highlight w:val="none"/>
                    </w:rPr>
                    <w:t>（以非甲烷总烃计）</w:t>
                  </w:r>
                  <w:r>
                    <w:rPr>
                      <w:rFonts w:eastAsia="宋体"/>
                      <w:color w:val="000000"/>
                      <w:sz w:val="21"/>
                      <w:szCs w:val="21"/>
                      <w:highlight w:val="none"/>
                    </w:rPr>
                    <w:t>排放浓度（mg/m</w:t>
                  </w:r>
                  <w:r>
                    <w:rPr>
                      <w:rFonts w:eastAsia="宋体"/>
                      <w:color w:val="000000"/>
                      <w:sz w:val="21"/>
                      <w:szCs w:val="21"/>
                      <w:highlight w:val="none"/>
                      <w:vertAlign w:val="superscript"/>
                    </w:rPr>
                    <w:t>3</w:t>
                  </w:r>
                  <w:r>
                    <w:rPr>
                      <w:rFonts w:eastAsia="宋体"/>
                      <w:color w:val="000000"/>
                      <w:sz w:val="21"/>
                      <w:szCs w:val="21"/>
                      <w:highlight w:val="none"/>
                    </w:rPr>
                    <w:t>）</w:t>
                  </w:r>
                </w:p>
              </w:tc>
              <w:tc>
                <w:tcPr>
                  <w:tcW w:w="834" w:type="pct"/>
                  <w:tcBorders>
                    <w:tl2br w:val="nil"/>
                    <w:tr2bl w:val="nil"/>
                  </w:tcBorders>
                  <w:vAlign w:val="center"/>
                </w:tcPr>
                <w:p>
                  <w:pPr>
                    <w:pStyle w:val="25"/>
                    <w:rPr>
                      <w:rFonts w:eastAsia="宋体"/>
                      <w:color w:val="000000"/>
                      <w:sz w:val="21"/>
                      <w:szCs w:val="21"/>
                      <w:highlight w:val="none"/>
                    </w:rPr>
                  </w:pPr>
                  <w:r>
                    <w:rPr>
                      <w:rFonts w:hint="eastAsia" w:eastAsia="宋体"/>
                      <w:color w:val="000000"/>
                      <w:sz w:val="21"/>
                      <w:szCs w:val="21"/>
                      <w:highlight w:val="none"/>
                    </w:rPr>
                    <w:t>23.7</w:t>
                  </w:r>
                </w:p>
              </w:tc>
              <w:tc>
                <w:tcPr>
                  <w:tcW w:w="834" w:type="pct"/>
                  <w:tcBorders>
                    <w:tl2br w:val="nil"/>
                    <w:tr2bl w:val="nil"/>
                  </w:tcBorders>
                  <w:vAlign w:val="center"/>
                </w:tcPr>
                <w:p>
                  <w:pPr>
                    <w:pStyle w:val="25"/>
                    <w:rPr>
                      <w:rFonts w:eastAsia="宋体"/>
                      <w:b/>
                      <w:bCs/>
                      <w:color w:val="000000"/>
                      <w:sz w:val="21"/>
                      <w:szCs w:val="21"/>
                      <w:highlight w:val="none"/>
                    </w:rPr>
                  </w:pPr>
                  <w:r>
                    <w:rPr>
                      <w:rFonts w:hint="eastAsia" w:eastAsia="宋体"/>
                      <w:b/>
                      <w:bCs/>
                      <w:color w:val="000000"/>
                      <w:sz w:val="21"/>
                      <w:szCs w:val="21"/>
                      <w:highlight w:val="none"/>
                    </w:rPr>
                    <w:t>24.6</w:t>
                  </w:r>
                </w:p>
              </w:tc>
              <w:tc>
                <w:tcPr>
                  <w:tcW w:w="835" w:type="pct"/>
                  <w:tcBorders>
                    <w:tl2br w:val="nil"/>
                    <w:tr2bl w:val="nil"/>
                  </w:tcBorders>
                  <w:vAlign w:val="center"/>
                </w:tcPr>
                <w:p>
                  <w:pPr>
                    <w:pStyle w:val="25"/>
                    <w:rPr>
                      <w:rFonts w:eastAsia="宋体"/>
                      <w:color w:val="000000"/>
                      <w:sz w:val="21"/>
                      <w:szCs w:val="21"/>
                      <w:highlight w:val="none"/>
                    </w:rPr>
                  </w:pPr>
                  <w:r>
                    <w:rPr>
                      <w:rFonts w:hint="eastAsia" w:eastAsia="宋体"/>
                      <w:color w:val="000000"/>
                      <w:sz w:val="21"/>
                      <w:szCs w:val="21"/>
                      <w:highlight w:val="none"/>
                    </w:rPr>
                    <w:t>20.3</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5" w:hRule="exact"/>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c>
                <w:tcPr>
                  <w:tcW w:w="1103" w:type="pct"/>
                  <w:tcBorders>
                    <w:tl2br w:val="nil"/>
                    <w:tr2bl w:val="nil"/>
                  </w:tcBorders>
                  <w:vAlign w:val="center"/>
                </w:tcPr>
                <w:p>
                  <w:pPr>
                    <w:pStyle w:val="25"/>
                    <w:jc w:val="both"/>
                    <w:rPr>
                      <w:rFonts w:eastAsia="宋体"/>
                      <w:color w:val="000000"/>
                      <w:sz w:val="21"/>
                      <w:szCs w:val="21"/>
                      <w:highlight w:val="none"/>
                    </w:rPr>
                  </w:pPr>
                  <w:r>
                    <w:rPr>
                      <w:sz w:val="21"/>
                      <w:szCs w:val="21"/>
                      <w:highlight w:val="none"/>
                    </w:rPr>
                    <w:t>VOCs</w:t>
                  </w:r>
                  <w:r>
                    <w:rPr>
                      <w:rFonts w:hint="eastAsia"/>
                      <w:bCs/>
                      <w:sz w:val="21"/>
                      <w:szCs w:val="21"/>
                      <w:highlight w:val="none"/>
                    </w:rPr>
                    <w:t>（以非甲烷总烃计）</w:t>
                  </w:r>
                  <w:r>
                    <w:rPr>
                      <w:rFonts w:eastAsia="宋体"/>
                      <w:color w:val="000000"/>
                      <w:sz w:val="21"/>
                      <w:szCs w:val="21"/>
                      <w:highlight w:val="none"/>
                    </w:rPr>
                    <w:t>排放速率（kg/h）</w:t>
                  </w:r>
                </w:p>
              </w:tc>
              <w:tc>
                <w:tcPr>
                  <w:tcW w:w="834" w:type="pct"/>
                  <w:tcBorders>
                    <w:tl2br w:val="nil"/>
                    <w:tr2bl w:val="nil"/>
                  </w:tcBorders>
                  <w:vAlign w:val="center"/>
                </w:tcPr>
                <w:p>
                  <w:pPr>
                    <w:pStyle w:val="25"/>
                    <w:rPr>
                      <w:rFonts w:eastAsia="宋体"/>
                      <w:color w:val="000000"/>
                      <w:sz w:val="21"/>
                      <w:szCs w:val="21"/>
                      <w:highlight w:val="none"/>
                    </w:rPr>
                  </w:pPr>
                  <w:r>
                    <w:rPr>
                      <w:rFonts w:hint="eastAsia" w:eastAsia="宋体"/>
                      <w:color w:val="000000"/>
                      <w:sz w:val="21"/>
                      <w:szCs w:val="21"/>
                      <w:highlight w:val="none"/>
                    </w:rPr>
                    <w:t>0.074</w:t>
                  </w:r>
                </w:p>
              </w:tc>
              <w:tc>
                <w:tcPr>
                  <w:tcW w:w="834" w:type="pct"/>
                  <w:tcBorders>
                    <w:tl2br w:val="nil"/>
                    <w:tr2bl w:val="nil"/>
                  </w:tcBorders>
                  <w:vAlign w:val="center"/>
                </w:tcPr>
                <w:p>
                  <w:pPr>
                    <w:pStyle w:val="25"/>
                    <w:rPr>
                      <w:rFonts w:eastAsia="宋体"/>
                      <w:b/>
                      <w:bCs/>
                      <w:color w:val="000000"/>
                      <w:sz w:val="21"/>
                      <w:szCs w:val="21"/>
                      <w:highlight w:val="none"/>
                    </w:rPr>
                  </w:pPr>
                  <w:r>
                    <w:rPr>
                      <w:rFonts w:hint="eastAsia" w:eastAsia="宋体"/>
                      <w:b/>
                      <w:bCs/>
                      <w:color w:val="000000"/>
                      <w:sz w:val="21"/>
                      <w:szCs w:val="21"/>
                      <w:highlight w:val="none"/>
                    </w:rPr>
                    <w:t>0.077</w:t>
                  </w:r>
                </w:p>
              </w:tc>
              <w:tc>
                <w:tcPr>
                  <w:tcW w:w="835" w:type="pct"/>
                  <w:tcBorders>
                    <w:tl2br w:val="nil"/>
                    <w:tr2bl w:val="nil"/>
                  </w:tcBorders>
                  <w:vAlign w:val="center"/>
                </w:tcPr>
                <w:p>
                  <w:pPr>
                    <w:pStyle w:val="25"/>
                    <w:rPr>
                      <w:rFonts w:eastAsia="宋体"/>
                      <w:color w:val="000000"/>
                      <w:sz w:val="21"/>
                      <w:szCs w:val="21"/>
                      <w:highlight w:val="none"/>
                    </w:rPr>
                  </w:pPr>
                  <w:r>
                    <w:rPr>
                      <w:rFonts w:hint="eastAsia" w:eastAsia="宋体"/>
                      <w:color w:val="000000"/>
                      <w:sz w:val="21"/>
                      <w:szCs w:val="21"/>
                      <w:highlight w:val="none"/>
                    </w:rPr>
                    <w:t>0.064</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7"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r>
                    <w:rPr>
                      <w:rFonts w:hint="eastAsia" w:eastAsia="宋体"/>
                      <w:b/>
                      <w:color w:val="000000"/>
                      <w:sz w:val="21"/>
                      <w:szCs w:val="21"/>
                      <w:highlight w:val="none"/>
                    </w:rPr>
                    <w:t>采样</w:t>
                  </w:r>
                </w:p>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r>
                    <w:rPr>
                      <w:rFonts w:hint="eastAsia" w:eastAsia="宋体"/>
                      <w:b/>
                      <w:color w:val="000000"/>
                      <w:sz w:val="21"/>
                      <w:szCs w:val="21"/>
                      <w:highlight w:val="none"/>
                    </w:rPr>
                    <w:t>点位</w:t>
                  </w:r>
                </w:p>
              </w:tc>
              <w:tc>
                <w:tcPr>
                  <w:tcW w:w="1103"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r>
                    <w:rPr>
                      <w:rFonts w:hint="eastAsia" w:eastAsia="宋体"/>
                      <w:b/>
                      <w:color w:val="000000"/>
                      <w:sz w:val="21"/>
                      <w:szCs w:val="21"/>
                      <w:highlight w:val="none"/>
                    </w:rPr>
                    <w:t>监测项目</w:t>
                  </w:r>
                </w:p>
              </w:tc>
              <w:tc>
                <w:tcPr>
                  <w:tcW w:w="2505" w:type="pct"/>
                  <w:gridSpan w:val="3"/>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r>
                    <w:rPr>
                      <w:rFonts w:eastAsia="宋体"/>
                      <w:b/>
                      <w:color w:val="000000"/>
                      <w:sz w:val="21"/>
                      <w:szCs w:val="21"/>
                      <w:highlight w:val="none"/>
                    </w:rPr>
                    <w:t>20</w:t>
                  </w:r>
                  <w:r>
                    <w:rPr>
                      <w:rFonts w:hint="eastAsia" w:eastAsia="宋体"/>
                      <w:b/>
                      <w:color w:val="000000"/>
                      <w:sz w:val="21"/>
                      <w:szCs w:val="21"/>
                      <w:highlight w:val="none"/>
                    </w:rPr>
                    <w:t>23</w:t>
                  </w:r>
                  <w:r>
                    <w:rPr>
                      <w:rFonts w:eastAsia="宋体"/>
                      <w:b/>
                      <w:color w:val="000000"/>
                      <w:sz w:val="21"/>
                      <w:szCs w:val="21"/>
                      <w:highlight w:val="none"/>
                    </w:rPr>
                    <w:t>年</w:t>
                  </w:r>
                  <w:r>
                    <w:rPr>
                      <w:rFonts w:hint="eastAsia" w:eastAsia="宋体"/>
                      <w:b/>
                      <w:color w:val="000000"/>
                      <w:sz w:val="21"/>
                      <w:szCs w:val="21"/>
                      <w:highlight w:val="none"/>
                    </w:rPr>
                    <w:t>10月13日采样监测结果</w:t>
                  </w:r>
                </w:p>
              </w:tc>
              <w:tc>
                <w:tcPr>
                  <w:tcW w:w="664"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r>
                    <w:rPr>
                      <w:rFonts w:hint="eastAsia" w:eastAsia="宋体"/>
                      <w:b/>
                      <w:color w:val="000000"/>
                      <w:sz w:val="21"/>
                      <w:szCs w:val="21"/>
                      <w:highlight w:val="none"/>
                    </w:rPr>
                    <w:t>排气筒高度</w:t>
                  </w:r>
                  <w:r>
                    <w:rPr>
                      <w:rFonts w:eastAsia="宋体"/>
                      <w:b/>
                      <w:color w:val="000000"/>
                      <w:sz w:val="21"/>
                      <w:szCs w:val="21"/>
                      <w:highlight w:val="none"/>
                    </w:rPr>
                    <w:t>/</w:t>
                  </w:r>
                  <w:r>
                    <w:rPr>
                      <w:rFonts w:hint="eastAsia" w:eastAsia="宋体"/>
                      <w:b/>
                      <w:color w:val="000000"/>
                      <w:sz w:val="21"/>
                      <w:szCs w:val="21"/>
                      <w:highlight w:val="none"/>
                    </w:rPr>
                    <w:t>内径（</w:t>
                  </w:r>
                  <w:r>
                    <w:rPr>
                      <w:rFonts w:eastAsia="宋体"/>
                      <w:b/>
                      <w:color w:val="000000"/>
                      <w:sz w:val="21"/>
                      <w:szCs w:val="21"/>
                      <w:highlight w:val="none"/>
                    </w:rPr>
                    <w:t>m</w:t>
                  </w:r>
                  <w:r>
                    <w:rPr>
                      <w:rFonts w:hint="eastAsia" w:eastAsia="宋体"/>
                      <w:b/>
                      <w:color w:val="00000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p>
              </w:tc>
              <w:tc>
                <w:tcPr>
                  <w:tcW w:w="1103"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r>
                    <w:rPr>
                      <w:rFonts w:hint="eastAsia" w:eastAsia="宋体"/>
                      <w:b/>
                      <w:color w:val="000000"/>
                      <w:sz w:val="21"/>
                      <w:szCs w:val="21"/>
                      <w:highlight w:val="none"/>
                    </w:rPr>
                    <w:t>频次</w:t>
                  </w:r>
                  <w:r>
                    <w:rPr>
                      <w:rFonts w:eastAsia="宋体"/>
                      <w:b/>
                      <w:color w:val="000000"/>
                      <w:sz w:val="21"/>
                      <w:szCs w:val="21"/>
                      <w:highlight w:val="none"/>
                    </w:rPr>
                    <w:t>1</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r>
                    <w:rPr>
                      <w:rFonts w:hint="eastAsia" w:eastAsia="宋体"/>
                      <w:b/>
                      <w:color w:val="000000"/>
                      <w:sz w:val="21"/>
                      <w:szCs w:val="21"/>
                      <w:highlight w:val="none"/>
                    </w:rPr>
                    <w:t>频次</w:t>
                  </w:r>
                  <w:r>
                    <w:rPr>
                      <w:rFonts w:eastAsia="宋体"/>
                      <w:b/>
                      <w:color w:val="000000"/>
                      <w:sz w:val="21"/>
                      <w:szCs w:val="21"/>
                      <w:highlight w:val="none"/>
                    </w:rPr>
                    <w:t>2</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r>
                    <w:rPr>
                      <w:rFonts w:hint="eastAsia" w:eastAsia="宋体"/>
                      <w:b/>
                      <w:color w:val="000000"/>
                      <w:sz w:val="21"/>
                      <w:szCs w:val="21"/>
                      <w:highlight w:val="none"/>
                    </w:rPr>
                    <w:t>频次</w:t>
                  </w:r>
                  <w:r>
                    <w:rPr>
                      <w:rFonts w:eastAsia="宋体"/>
                      <w:b/>
                      <w:color w:val="000000"/>
                      <w:sz w:val="21"/>
                      <w:szCs w:val="21"/>
                      <w:highlight w:val="none"/>
                    </w:rPr>
                    <w:t>3</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b/>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000000"/>
                      <w:sz w:val="21"/>
                      <w:szCs w:val="21"/>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000000"/>
                      <w:sz w:val="21"/>
                      <w:szCs w:val="21"/>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000000"/>
                      <w:sz w:val="21"/>
                      <w:szCs w:val="21"/>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000000"/>
                      <w:sz w:val="21"/>
                      <w:szCs w:val="21"/>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color w:val="000000"/>
                      <w:sz w:val="21"/>
                      <w:szCs w:val="21"/>
                      <w:highlight w:val="none"/>
                      <w:lang w:eastAsia="zh-CN"/>
                    </w:rPr>
                  </w:pPr>
                  <w:r>
                    <w:rPr>
                      <w:rFonts w:hint="eastAsia"/>
                      <w:bCs/>
                      <w:color w:val="000000"/>
                      <w:sz w:val="21"/>
                      <w:szCs w:val="21"/>
                      <w:highlight w:val="none"/>
                    </w:rPr>
                    <w:t>拟建项目环保设备进口</w:t>
                  </w:r>
                  <w:r>
                    <w:rPr>
                      <w:rFonts w:hint="eastAsia"/>
                      <w:bCs/>
                      <w:color w:val="000000"/>
                      <w:sz w:val="21"/>
                      <w:szCs w:val="21"/>
                      <w:highlight w:val="none"/>
                      <w:lang w:eastAsia="zh-CN"/>
                    </w:rPr>
                    <w:t>（</w:t>
                  </w:r>
                  <w:r>
                    <w:rPr>
                      <w:rFonts w:hint="eastAsia"/>
                      <w:bCs/>
                      <w:color w:val="000000"/>
                      <w:sz w:val="21"/>
                      <w:szCs w:val="21"/>
                      <w:highlight w:val="none"/>
                      <w:lang w:val="en-US" w:eastAsia="zh-CN"/>
                    </w:rPr>
                    <w:t>DA001</w:t>
                  </w:r>
                  <w:r>
                    <w:rPr>
                      <w:rFonts w:hint="eastAsia"/>
                      <w:bCs/>
                      <w:color w:val="000000"/>
                      <w:sz w:val="21"/>
                      <w:szCs w:val="21"/>
                      <w:highlight w:val="none"/>
                      <w:lang w:eastAsia="zh-CN"/>
                    </w:rPr>
                    <w:t>）</w:t>
                  </w:r>
                </w:p>
              </w:tc>
              <w:tc>
                <w:tcPr>
                  <w:tcW w:w="110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jc w:val="left"/>
                    <w:textAlignment w:val="auto"/>
                    <w:rPr>
                      <w:rFonts w:eastAsia="宋体"/>
                      <w:color w:val="000000"/>
                      <w:sz w:val="21"/>
                      <w:szCs w:val="21"/>
                      <w:highlight w:val="none"/>
                    </w:rPr>
                  </w:pPr>
                  <w:r>
                    <w:rPr>
                      <w:rFonts w:hint="eastAsia" w:eastAsia="宋体"/>
                      <w:color w:val="000000"/>
                      <w:sz w:val="21"/>
                      <w:szCs w:val="21"/>
                      <w:highlight w:val="none"/>
                    </w:rPr>
                    <w:t>烟气流速（m/s）</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1.86</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1.86</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1.86</w:t>
                  </w:r>
                </w:p>
              </w:tc>
              <w:tc>
                <w:tcPr>
                  <w:tcW w:w="664"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c>
                <w:tcPr>
                  <w:tcW w:w="110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jc w:val="left"/>
                    <w:textAlignment w:val="auto"/>
                    <w:rPr>
                      <w:rFonts w:eastAsia="宋体"/>
                      <w:color w:val="000000"/>
                      <w:sz w:val="21"/>
                      <w:szCs w:val="21"/>
                      <w:highlight w:val="none"/>
                    </w:rPr>
                  </w:pPr>
                  <w:r>
                    <w:rPr>
                      <w:rFonts w:hint="eastAsia" w:eastAsia="宋体"/>
                      <w:color w:val="000000"/>
                      <w:sz w:val="21"/>
                      <w:szCs w:val="21"/>
                      <w:highlight w:val="none"/>
                    </w:rPr>
                    <w:t>烟气温度（℃）</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24</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25</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25</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c>
                <w:tcPr>
                  <w:tcW w:w="110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jc w:val="left"/>
                    <w:textAlignment w:val="auto"/>
                    <w:rPr>
                      <w:rFonts w:eastAsia="宋体"/>
                      <w:color w:val="000000"/>
                      <w:sz w:val="21"/>
                      <w:szCs w:val="21"/>
                      <w:highlight w:val="none"/>
                    </w:rPr>
                  </w:pPr>
                  <w:r>
                    <w:rPr>
                      <w:rFonts w:hint="eastAsia" w:eastAsia="宋体"/>
                      <w:color w:val="000000"/>
                      <w:sz w:val="21"/>
                      <w:szCs w:val="21"/>
                      <w:highlight w:val="none"/>
                    </w:rPr>
                    <w:t>含湿量%</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1.7</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1.6</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1.7</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c>
                <w:tcPr>
                  <w:tcW w:w="110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jc w:val="left"/>
                    <w:textAlignment w:val="auto"/>
                    <w:rPr>
                      <w:rFonts w:eastAsia="宋体"/>
                      <w:color w:val="000000"/>
                      <w:sz w:val="21"/>
                      <w:szCs w:val="21"/>
                      <w:highlight w:val="none"/>
                    </w:rPr>
                  </w:pPr>
                  <w:r>
                    <w:rPr>
                      <w:rFonts w:eastAsia="宋体"/>
                      <w:color w:val="000000"/>
                      <w:sz w:val="21"/>
                      <w:szCs w:val="21"/>
                      <w:highlight w:val="none"/>
                    </w:rPr>
                    <w:t>标干流量（</w:t>
                  </w:r>
                  <w:r>
                    <w:rPr>
                      <w:rFonts w:hint="eastAsia" w:eastAsia="宋体"/>
                      <w:color w:val="000000"/>
                      <w:sz w:val="21"/>
                      <w:szCs w:val="21"/>
                      <w:highlight w:val="none"/>
                    </w:rPr>
                    <w:t>N</w:t>
                  </w:r>
                  <w:r>
                    <w:rPr>
                      <w:rFonts w:eastAsia="宋体"/>
                      <w:color w:val="000000"/>
                      <w:sz w:val="21"/>
                      <w:szCs w:val="21"/>
                      <w:highlight w:val="none"/>
                    </w:rPr>
                    <w:t>m</w:t>
                  </w:r>
                  <w:r>
                    <w:rPr>
                      <w:rFonts w:eastAsia="宋体"/>
                      <w:color w:val="000000"/>
                      <w:sz w:val="21"/>
                      <w:szCs w:val="21"/>
                      <w:highlight w:val="none"/>
                      <w:vertAlign w:val="superscript"/>
                    </w:rPr>
                    <w:t>3</w:t>
                  </w:r>
                  <w:r>
                    <w:rPr>
                      <w:rFonts w:eastAsia="宋体"/>
                      <w:color w:val="000000"/>
                      <w:sz w:val="21"/>
                      <w:szCs w:val="21"/>
                      <w:highlight w:val="none"/>
                    </w:rPr>
                    <w:t>/h）</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3028.191</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3025.423</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3022.957</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c>
                <w:tcPr>
                  <w:tcW w:w="110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jc w:val="left"/>
                    <w:textAlignment w:val="auto"/>
                    <w:rPr>
                      <w:rFonts w:eastAsia="宋体"/>
                      <w:color w:val="000000"/>
                      <w:sz w:val="21"/>
                      <w:szCs w:val="21"/>
                      <w:highlight w:val="none"/>
                    </w:rPr>
                  </w:pPr>
                  <w:r>
                    <w:rPr>
                      <w:sz w:val="21"/>
                      <w:szCs w:val="21"/>
                      <w:highlight w:val="none"/>
                    </w:rPr>
                    <w:t>VOCs</w:t>
                  </w:r>
                  <w:r>
                    <w:rPr>
                      <w:rFonts w:hint="eastAsia"/>
                      <w:bCs/>
                      <w:sz w:val="21"/>
                      <w:szCs w:val="21"/>
                      <w:highlight w:val="none"/>
                    </w:rPr>
                    <w:t>（以非甲烷总烃计）</w:t>
                  </w:r>
                  <w:r>
                    <w:rPr>
                      <w:rFonts w:hint="eastAsia" w:eastAsia="宋体"/>
                      <w:color w:val="000000"/>
                      <w:sz w:val="21"/>
                      <w:szCs w:val="21"/>
                      <w:highlight w:val="none"/>
                    </w:rPr>
                    <w:t>样品编号</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QY2310A058</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QY2310A059</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QY2310A060</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c>
                <w:tcPr>
                  <w:tcW w:w="110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jc w:val="left"/>
                    <w:textAlignment w:val="auto"/>
                    <w:rPr>
                      <w:rFonts w:eastAsia="宋体"/>
                      <w:color w:val="000000"/>
                      <w:sz w:val="21"/>
                      <w:szCs w:val="21"/>
                      <w:highlight w:val="none"/>
                    </w:rPr>
                  </w:pPr>
                  <w:r>
                    <w:rPr>
                      <w:sz w:val="21"/>
                      <w:szCs w:val="21"/>
                      <w:highlight w:val="none"/>
                    </w:rPr>
                    <w:t>VOCs</w:t>
                  </w:r>
                  <w:r>
                    <w:rPr>
                      <w:rFonts w:hint="eastAsia"/>
                      <w:bCs/>
                      <w:sz w:val="21"/>
                      <w:szCs w:val="21"/>
                      <w:highlight w:val="none"/>
                    </w:rPr>
                    <w:t>（以非甲烷总烃计）</w:t>
                  </w:r>
                  <w:r>
                    <w:rPr>
                      <w:rFonts w:eastAsia="宋体"/>
                      <w:color w:val="000000"/>
                      <w:sz w:val="21"/>
                      <w:szCs w:val="21"/>
                      <w:highlight w:val="none"/>
                    </w:rPr>
                    <w:t>排放浓度（mg/m</w:t>
                  </w:r>
                  <w:r>
                    <w:rPr>
                      <w:rFonts w:eastAsia="宋体"/>
                      <w:color w:val="000000"/>
                      <w:sz w:val="21"/>
                      <w:szCs w:val="21"/>
                      <w:highlight w:val="none"/>
                      <w:vertAlign w:val="superscript"/>
                    </w:rPr>
                    <w:t>3</w:t>
                  </w:r>
                  <w:r>
                    <w:rPr>
                      <w:rFonts w:eastAsia="宋体"/>
                      <w:color w:val="000000"/>
                      <w:sz w:val="21"/>
                      <w:szCs w:val="21"/>
                      <w:highlight w:val="none"/>
                    </w:rPr>
                    <w:t>）</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170</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186</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148</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c>
                <w:tcPr>
                  <w:tcW w:w="110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jc w:val="left"/>
                    <w:textAlignment w:val="auto"/>
                    <w:rPr>
                      <w:rFonts w:eastAsia="宋体"/>
                      <w:color w:val="000000"/>
                      <w:sz w:val="21"/>
                      <w:szCs w:val="21"/>
                      <w:highlight w:val="none"/>
                    </w:rPr>
                  </w:pPr>
                  <w:r>
                    <w:rPr>
                      <w:sz w:val="21"/>
                      <w:szCs w:val="21"/>
                      <w:highlight w:val="none"/>
                    </w:rPr>
                    <w:t>VOCs</w:t>
                  </w:r>
                  <w:r>
                    <w:rPr>
                      <w:rFonts w:hint="eastAsia"/>
                      <w:bCs/>
                      <w:sz w:val="21"/>
                      <w:szCs w:val="21"/>
                      <w:highlight w:val="none"/>
                    </w:rPr>
                    <w:t>（以非甲烷总烃计）</w:t>
                  </w:r>
                  <w:r>
                    <w:rPr>
                      <w:rFonts w:eastAsia="宋体"/>
                      <w:color w:val="000000"/>
                      <w:sz w:val="21"/>
                      <w:szCs w:val="21"/>
                      <w:highlight w:val="none"/>
                    </w:rPr>
                    <w:t>排放速率（kg/h）</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0.51</w:t>
                  </w:r>
                </w:p>
              </w:tc>
              <w:tc>
                <w:tcPr>
                  <w:tcW w:w="83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0.56</w:t>
                  </w:r>
                </w:p>
              </w:tc>
              <w:tc>
                <w:tcPr>
                  <w:tcW w:w="835"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0.45</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restart"/>
                  <w:tcBorders>
                    <w:tl2br w:val="nil"/>
                    <w:tr2bl w:val="nil"/>
                  </w:tcBorders>
                  <w:vAlign w:val="center"/>
                </w:tcPr>
                <w:p>
                  <w:pPr>
                    <w:pStyle w:val="25"/>
                    <w:rPr>
                      <w:rFonts w:hint="eastAsia"/>
                      <w:bCs/>
                      <w:color w:val="000000"/>
                      <w:sz w:val="21"/>
                      <w:szCs w:val="21"/>
                      <w:highlight w:val="none"/>
                    </w:rPr>
                  </w:pPr>
                  <w:r>
                    <w:rPr>
                      <w:rFonts w:hint="eastAsia"/>
                      <w:bCs/>
                      <w:color w:val="000000"/>
                      <w:sz w:val="21"/>
                      <w:szCs w:val="21"/>
                      <w:highlight w:val="none"/>
                    </w:rPr>
                    <w:t>废气处理设备排气筒出口</w:t>
                  </w:r>
                </w:p>
                <w:p>
                  <w:pPr>
                    <w:pStyle w:val="25"/>
                    <w:rPr>
                      <w:rFonts w:eastAsia="宋体"/>
                      <w:color w:val="000000"/>
                      <w:sz w:val="21"/>
                      <w:szCs w:val="21"/>
                      <w:highlight w:val="none"/>
                    </w:rPr>
                  </w:pPr>
                  <w:r>
                    <w:rPr>
                      <w:rFonts w:hint="eastAsia"/>
                      <w:bCs/>
                      <w:color w:val="000000"/>
                      <w:sz w:val="21"/>
                      <w:szCs w:val="21"/>
                      <w:highlight w:val="none"/>
                      <w:lang w:eastAsia="zh-CN"/>
                    </w:rPr>
                    <w:t>（</w:t>
                  </w:r>
                  <w:r>
                    <w:rPr>
                      <w:rFonts w:hint="eastAsia"/>
                      <w:bCs/>
                      <w:color w:val="000000"/>
                      <w:sz w:val="21"/>
                      <w:szCs w:val="21"/>
                      <w:highlight w:val="none"/>
                      <w:lang w:val="en-US" w:eastAsia="zh-CN"/>
                    </w:rPr>
                    <w:t>DA001</w:t>
                  </w:r>
                  <w:r>
                    <w:rPr>
                      <w:rFonts w:hint="eastAsia"/>
                      <w:bCs/>
                      <w:color w:val="000000"/>
                      <w:sz w:val="21"/>
                      <w:szCs w:val="21"/>
                      <w:highlight w:val="none"/>
                      <w:lang w:eastAsia="zh-CN"/>
                    </w:rPr>
                    <w:t>）</w:t>
                  </w:r>
                </w:p>
              </w:tc>
              <w:tc>
                <w:tcPr>
                  <w:tcW w:w="1103" w:type="pct"/>
                  <w:tcBorders>
                    <w:tl2br w:val="nil"/>
                    <w:tr2bl w:val="nil"/>
                  </w:tcBorders>
                  <w:vAlign w:val="center"/>
                </w:tcPr>
                <w:p>
                  <w:pPr>
                    <w:pStyle w:val="25"/>
                    <w:jc w:val="left"/>
                    <w:rPr>
                      <w:sz w:val="21"/>
                      <w:szCs w:val="21"/>
                      <w:highlight w:val="none"/>
                    </w:rPr>
                  </w:pPr>
                  <w:r>
                    <w:rPr>
                      <w:rFonts w:hint="eastAsia" w:eastAsia="宋体"/>
                      <w:color w:val="000000"/>
                      <w:sz w:val="21"/>
                      <w:szCs w:val="21"/>
                      <w:highlight w:val="none"/>
                    </w:rPr>
                    <w:t>烟气流速（m/s）</w:t>
                  </w:r>
                </w:p>
              </w:tc>
              <w:tc>
                <w:tcPr>
                  <w:tcW w:w="834"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3.39</w:t>
                  </w:r>
                </w:p>
              </w:tc>
              <w:tc>
                <w:tcPr>
                  <w:tcW w:w="834"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3.40</w:t>
                  </w:r>
                </w:p>
              </w:tc>
              <w:tc>
                <w:tcPr>
                  <w:tcW w:w="835"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3.40</w:t>
                  </w:r>
                </w:p>
              </w:tc>
              <w:tc>
                <w:tcPr>
                  <w:tcW w:w="664"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r>
                    <w:rPr>
                      <w:rFonts w:hint="eastAsia" w:eastAsia="宋体"/>
                      <w:color w:val="000000"/>
                      <w:sz w:val="21"/>
                      <w:szCs w:val="21"/>
                      <w:highlight w:val="none"/>
                    </w:rPr>
                    <w:t>25/0.50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tcBorders>
                    <w:tl2br w:val="nil"/>
                    <w:tr2bl w:val="nil"/>
                  </w:tcBorders>
                  <w:vAlign w:val="center"/>
                </w:tcPr>
                <w:p>
                  <w:pPr>
                    <w:pStyle w:val="25"/>
                    <w:rPr>
                      <w:rFonts w:eastAsia="宋体"/>
                      <w:color w:val="000000"/>
                      <w:sz w:val="21"/>
                      <w:szCs w:val="21"/>
                      <w:highlight w:val="none"/>
                    </w:rPr>
                  </w:pPr>
                </w:p>
              </w:tc>
              <w:tc>
                <w:tcPr>
                  <w:tcW w:w="1103" w:type="pct"/>
                  <w:tcBorders>
                    <w:tl2br w:val="nil"/>
                    <w:tr2bl w:val="nil"/>
                  </w:tcBorders>
                  <w:vAlign w:val="center"/>
                </w:tcPr>
                <w:p>
                  <w:pPr>
                    <w:pStyle w:val="25"/>
                    <w:jc w:val="left"/>
                    <w:rPr>
                      <w:sz w:val="21"/>
                      <w:szCs w:val="21"/>
                      <w:highlight w:val="none"/>
                    </w:rPr>
                  </w:pPr>
                  <w:r>
                    <w:rPr>
                      <w:rFonts w:hint="eastAsia" w:eastAsia="宋体"/>
                      <w:color w:val="000000"/>
                      <w:sz w:val="21"/>
                      <w:szCs w:val="21"/>
                      <w:highlight w:val="none"/>
                    </w:rPr>
                    <w:t>烟气温度（℃）</w:t>
                  </w:r>
                </w:p>
              </w:tc>
              <w:tc>
                <w:tcPr>
                  <w:tcW w:w="834"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24</w:t>
                  </w:r>
                </w:p>
              </w:tc>
              <w:tc>
                <w:tcPr>
                  <w:tcW w:w="834"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25</w:t>
                  </w:r>
                </w:p>
              </w:tc>
              <w:tc>
                <w:tcPr>
                  <w:tcW w:w="835"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25</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tcBorders>
                    <w:tl2br w:val="nil"/>
                    <w:tr2bl w:val="nil"/>
                  </w:tcBorders>
                  <w:vAlign w:val="center"/>
                </w:tcPr>
                <w:p>
                  <w:pPr>
                    <w:pStyle w:val="25"/>
                    <w:rPr>
                      <w:rFonts w:eastAsia="宋体"/>
                      <w:color w:val="000000"/>
                      <w:sz w:val="21"/>
                      <w:szCs w:val="21"/>
                      <w:highlight w:val="none"/>
                    </w:rPr>
                  </w:pPr>
                </w:p>
              </w:tc>
              <w:tc>
                <w:tcPr>
                  <w:tcW w:w="1103" w:type="pct"/>
                  <w:tcBorders>
                    <w:tl2br w:val="nil"/>
                    <w:tr2bl w:val="nil"/>
                  </w:tcBorders>
                  <w:vAlign w:val="center"/>
                </w:tcPr>
                <w:p>
                  <w:pPr>
                    <w:pStyle w:val="25"/>
                    <w:jc w:val="left"/>
                    <w:rPr>
                      <w:sz w:val="21"/>
                      <w:szCs w:val="21"/>
                      <w:highlight w:val="none"/>
                    </w:rPr>
                  </w:pPr>
                  <w:r>
                    <w:rPr>
                      <w:rFonts w:hint="eastAsia" w:eastAsia="宋体"/>
                      <w:color w:val="000000"/>
                      <w:sz w:val="21"/>
                      <w:szCs w:val="21"/>
                      <w:highlight w:val="none"/>
                    </w:rPr>
                    <w:t>含湿量%</w:t>
                  </w:r>
                </w:p>
              </w:tc>
              <w:tc>
                <w:tcPr>
                  <w:tcW w:w="834"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1.5</w:t>
                  </w:r>
                </w:p>
              </w:tc>
              <w:tc>
                <w:tcPr>
                  <w:tcW w:w="834"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1.4</w:t>
                  </w:r>
                </w:p>
              </w:tc>
              <w:tc>
                <w:tcPr>
                  <w:tcW w:w="835"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1.4</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tcBorders>
                    <w:tl2br w:val="nil"/>
                    <w:tr2bl w:val="nil"/>
                  </w:tcBorders>
                  <w:vAlign w:val="center"/>
                </w:tcPr>
                <w:p>
                  <w:pPr>
                    <w:pStyle w:val="25"/>
                    <w:rPr>
                      <w:rFonts w:eastAsia="宋体"/>
                      <w:color w:val="000000"/>
                      <w:sz w:val="21"/>
                      <w:szCs w:val="21"/>
                      <w:highlight w:val="none"/>
                    </w:rPr>
                  </w:pPr>
                </w:p>
              </w:tc>
              <w:tc>
                <w:tcPr>
                  <w:tcW w:w="1103" w:type="pct"/>
                  <w:tcBorders>
                    <w:tl2br w:val="nil"/>
                    <w:tr2bl w:val="nil"/>
                  </w:tcBorders>
                  <w:vAlign w:val="center"/>
                </w:tcPr>
                <w:p>
                  <w:pPr>
                    <w:pStyle w:val="25"/>
                    <w:jc w:val="left"/>
                    <w:rPr>
                      <w:sz w:val="21"/>
                      <w:szCs w:val="21"/>
                      <w:highlight w:val="none"/>
                    </w:rPr>
                  </w:pPr>
                  <w:r>
                    <w:rPr>
                      <w:rFonts w:eastAsia="宋体"/>
                      <w:color w:val="000000"/>
                      <w:sz w:val="21"/>
                      <w:szCs w:val="21"/>
                      <w:highlight w:val="none"/>
                    </w:rPr>
                    <w:t>标干流量（</w:t>
                  </w:r>
                  <w:r>
                    <w:rPr>
                      <w:rFonts w:hint="eastAsia" w:eastAsia="宋体"/>
                      <w:color w:val="000000"/>
                      <w:sz w:val="21"/>
                      <w:szCs w:val="21"/>
                      <w:highlight w:val="none"/>
                    </w:rPr>
                    <w:t>N</w:t>
                  </w:r>
                  <w:r>
                    <w:rPr>
                      <w:rFonts w:eastAsia="宋体"/>
                      <w:color w:val="000000"/>
                      <w:sz w:val="21"/>
                      <w:szCs w:val="21"/>
                      <w:highlight w:val="none"/>
                    </w:rPr>
                    <w:t>m</w:t>
                  </w:r>
                  <w:r>
                    <w:rPr>
                      <w:rFonts w:eastAsia="宋体"/>
                      <w:color w:val="000000"/>
                      <w:sz w:val="21"/>
                      <w:szCs w:val="21"/>
                      <w:highlight w:val="none"/>
                      <w:vertAlign w:val="superscript"/>
                    </w:rPr>
                    <w:t>3</w:t>
                  </w:r>
                  <w:r>
                    <w:rPr>
                      <w:rFonts w:eastAsia="宋体"/>
                      <w:color w:val="000000"/>
                      <w:sz w:val="21"/>
                      <w:szCs w:val="21"/>
                      <w:highlight w:val="none"/>
                    </w:rPr>
                    <w:t>/h）</w:t>
                  </w:r>
                </w:p>
              </w:tc>
              <w:tc>
                <w:tcPr>
                  <w:tcW w:w="834"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3130.948</w:t>
                  </w:r>
                </w:p>
              </w:tc>
              <w:tc>
                <w:tcPr>
                  <w:tcW w:w="834"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3128.387</w:t>
                  </w:r>
                </w:p>
              </w:tc>
              <w:tc>
                <w:tcPr>
                  <w:tcW w:w="835"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3128.233</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tcBorders>
                    <w:tl2br w:val="nil"/>
                    <w:tr2bl w:val="nil"/>
                  </w:tcBorders>
                  <w:vAlign w:val="center"/>
                </w:tcPr>
                <w:p>
                  <w:pPr>
                    <w:pStyle w:val="25"/>
                    <w:rPr>
                      <w:rFonts w:eastAsia="宋体"/>
                      <w:color w:val="000000"/>
                      <w:sz w:val="21"/>
                      <w:szCs w:val="21"/>
                      <w:highlight w:val="none"/>
                    </w:rPr>
                  </w:pPr>
                </w:p>
              </w:tc>
              <w:tc>
                <w:tcPr>
                  <w:tcW w:w="1103" w:type="pct"/>
                  <w:tcBorders>
                    <w:tl2br w:val="nil"/>
                    <w:tr2bl w:val="nil"/>
                  </w:tcBorders>
                  <w:vAlign w:val="center"/>
                </w:tcPr>
                <w:p>
                  <w:pPr>
                    <w:pStyle w:val="25"/>
                    <w:jc w:val="both"/>
                    <w:rPr>
                      <w:sz w:val="21"/>
                      <w:szCs w:val="21"/>
                      <w:highlight w:val="none"/>
                    </w:rPr>
                  </w:pPr>
                  <w:r>
                    <w:rPr>
                      <w:sz w:val="21"/>
                      <w:szCs w:val="21"/>
                      <w:highlight w:val="none"/>
                    </w:rPr>
                    <w:t>VOCs</w:t>
                  </w:r>
                  <w:r>
                    <w:rPr>
                      <w:rFonts w:hint="eastAsia"/>
                      <w:bCs/>
                      <w:sz w:val="21"/>
                      <w:szCs w:val="21"/>
                      <w:highlight w:val="none"/>
                    </w:rPr>
                    <w:t>（以非甲烷总烃计）</w:t>
                  </w:r>
                  <w:r>
                    <w:rPr>
                      <w:rFonts w:hint="eastAsia" w:eastAsia="宋体"/>
                      <w:color w:val="000000"/>
                      <w:sz w:val="21"/>
                      <w:szCs w:val="21"/>
                      <w:highlight w:val="none"/>
                    </w:rPr>
                    <w:t>样品编号</w:t>
                  </w:r>
                </w:p>
              </w:tc>
              <w:tc>
                <w:tcPr>
                  <w:tcW w:w="834"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QY2310A061</w:t>
                  </w:r>
                </w:p>
              </w:tc>
              <w:tc>
                <w:tcPr>
                  <w:tcW w:w="834"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QY2310A062</w:t>
                  </w:r>
                </w:p>
              </w:tc>
              <w:tc>
                <w:tcPr>
                  <w:tcW w:w="835"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QY2310A063</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tcBorders>
                    <w:tl2br w:val="nil"/>
                    <w:tr2bl w:val="nil"/>
                  </w:tcBorders>
                  <w:vAlign w:val="center"/>
                </w:tcPr>
                <w:p>
                  <w:pPr>
                    <w:pStyle w:val="25"/>
                    <w:rPr>
                      <w:rFonts w:eastAsia="宋体"/>
                      <w:color w:val="000000"/>
                      <w:sz w:val="21"/>
                      <w:szCs w:val="21"/>
                      <w:highlight w:val="none"/>
                    </w:rPr>
                  </w:pPr>
                </w:p>
              </w:tc>
              <w:tc>
                <w:tcPr>
                  <w:tcW w:w="1103" w:type="pct"/>
                  <w:tcBorders>
                    <w:tl2br w:val="nil"/>
                    <w:tr2bl w:val="nil"/>
                  </w:tcBorders>
                  <w:vAlign w:val="center"/>
                </w:tcPr>
                <w:p>
                  <w:pPr>
                    <w:pStyle w:val="25"/>
                    <w:jc w:val="both"/>
                    <w:rPr>
                      <w:sz w:val="21"/>
                      <w:szCs w:val="21"/>
                      <w:highlight w:val="none"/>
                    </w:rPr>
                  </w:pPr>
                  <w:r>
                    <w:rPr>
                      <w:sz w:val="21"/>
                      <w:szCs w:val="21"/>
                      <w:highlight w:val="none"/>
                    </w:rPr>
                    <w:t>VOCs</w:t>
                  </w:r>
                  <w:r>
                    <w:rPr>
                      <w:rFonts w:hint="eastAsia"/>
                      <w:bCs/>
                      <w:sz w:val="21"/>
                      <w:szCs w:val="21"/>
                      <w:highlight w:val="none"/>
                    </w:rPr>
                    <w:t>（以非甲烷总烃计）</w:t>
                  </w:r>
                  <w:r>
                    <w:rPr>
                      <w:rFonts w:eastAsia="宋体"/>
                      <w:color w:val="000000"/>
                      <w:sz w:val="21"/>
                      <w:szCs w:val="21"/>
                      <w:highlight w:val="none"/>
                    </w:rPr>
                    <w:t>排放浓度（mg/m</w:t>
                  </w:r>
                  <w:r>
                    <w:rPr>
                      <w:rFonts w:eastAsia="宋体"/>
                      <w:color w:val="000000"/>
                      <w:sz w:val="21"/>
                      <w:szCs w:val="21"/>
                      <w:highlight w:val="none"/>
                      <w:vertAlign w:val="superscript"/>
                    </w:rPr>
                    <w:t>3</w:t>
                  </w:r>
                  <w:r>
                    <w:rPr>
                      <w:rFonts w:eastAsia="宋体"/>
                      <w:color w:val="000000"/>
                      <w:sz w:val="21"/>
                      <w:szCs w:val="21"/>
                      <w:highlight w:val="none"/>
                    </w:rPr>
                    <w:t>）</w:t>
                  </w:r>
                </w:p>
              </w:tc>
              <w:tc>
                <w:tcPr>
                  <w:tcW w:w="834"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23.4</w:t>
                  </w:r>
                </w:p>
              </w:tc>
              <w:tc>
                <w:tcPr>
                  <w:tcW w:w="834"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21.7</w:t>
                  </w:r>
                </w:p>
              </w:tc>
              <w:tc>
                <w:tcPr>
                  <w:tcW w:w="835"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22.1</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vMerge w:val="continue"/>
                  <w:tcBorders>
                    <w:tl2br w:val="nil"/>
                    <w:tr2bl w:val="nil"/>
                  </w:tcBorders>
                  <w:vAlign w:val="center"/>
                </w:tcPr>
                <w:p>
                  <w:pPr>
                    <w:pStyle w:val="25"/>
                    <w:rPr>
                      <w:rFonts w:eastAsia="宋体"/>
                      <w:color w:val="000000"/>
                      <w:sz w:val="21"/>
                      <w:szCs w:val="21"/>
                      <w:highlight w:val="none"/>
                    </w:rPr>
                  </w:pPr>
                </w:p>
              </w:tc>
              <w:tc>
                <w:tcPr>
                  <w:tcW w:w="1103" w:type="pct"/>
                  <w:tcBorders>
                    <w:tl2br w:val="nil"/>
                    <w:tr2bl w:val="nil"/>
                  </w:tcBorders>
                  <w:vAlign w:val="center"/>
                </w:tcPr>
                <w:p>
                  <w:pPr>
                    <w:pStyle w:val="25"/>
                    <w:jc w:val="both"/>
                    <w:rPr>
                      <w:sz w:val="21"/>
                      <w:szCs w:val="21"/>
                      <w:highlight w:val="none"/>
                    </w:rPr>
                  </w:pPr>
                  <w:r>
                    <w:rPr>
                      <w:sz w:val="21"/>
                      <w:szCs w:val="21"/>
                      <w:highlight w:val="none"/>
                    </w:rPr>
                    <w:t>VOCs</w:t>
                  </w:r>
                  <w:r>
                    <w:rPr>
                      <w:rFonts w:hint="eastAsia"/>
                      <w:bCs/>
                      <w:sz w:val="21"/>
                      <w:szCs w:val="21"/>
                      <w:highlight w:val="none"/>
                    </w:rPr>
                    <w:t>（以非甲烷总烃计）</w:t>
                  </w:r>
                  <w:r>
                    <w:rPr>
                      <w:rFonts w:eastAsia="宋体"/>
                      <w:color w:val="000000"/>
                      <w:sz w:val="21"/>
                      <w:szCs w:val="21"/>
                      <w:highlight w:val="none"/>
                    </w:rPr>
                    <w:t>排放速率（kg/h）</w:t>
                  </w:r>
                </w:p>
              </w:tc>
              <w:tc>
                <w:tcPr>
                  <w:tcW w:w="834"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0.073</w:t>
                  </w:r>
                </w:p>
              </w:tc>
              <w:tc>
                <w:tcPr>
                  <w:tcW w:w="834"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0.068</w:t>
                  </w:r>
                </w:p>
              </w:tc>
              <w:tc>
                <w:tcPr>
                  <w:tcW w:w="835" w:type="pct"/>
                  <w:tcBorders>
                    <w:tl2br w:val="nil"/>
                    <w:tr2bl w:val="nil"/>
                  </w:tcBorders>
                  <w:vAlign w:val="center"/>
                </w:tcPr>
                <w:p>
                  <w:pPr>
                    <w:pStyle w:val="25"/>
                    <w:rPr>
                      <w:rFonts w:hint="eastAsia" w:eastAsia="宋体"/>
                      <w:color w:val="000000"/>
                      <w:sz w:val="21"/>
                      <w:szCs w:val="21"/>
                      <w:highlight w:val="none"/>
                    </w:rPr>
                  </w:pPr>
                  <w:r>
                    <w:rPr>
                      <w:rFonts w:hint="eastAsia" w:eastAsia="宋体"/>
                      <w:color w:val="000000"/>
                      <w:sz w:val="21"/>
                      <w:szCs w:val="21"/>
                      <w:highlight w:val="none"/>
                    </w:rPr>
                    <w:t>0.069</w:t>
                  </w:r>
                </w:p>
              </w:tc>
              <w:tc>
                <w:tcPr>
                  <w:tcW w:w="66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textAlignment w:val="auto"/>
                    <w:rPr>
                      <w:rFonts w:eastAsia="宋体"/>
                      <w:color w:val="000000"/>
                      <w:sz w:val="21"/>
                      <w:szCs w:val="21"/>
                      <w:highlight w:val="none"/>
                    </w:rPr>
                  </w:pPr>
                </w:p>
              </w:tc>
            </w:tr>
          </w:tbl>
          <w:p>
            <w:pPr>
              <w:spacing w:line="360" w:lineRule="auto"/>
              <w:ind w:firstLine="480" w:firstLineChars="20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验收</w:t>
            </w:r>
            <w:r>
              <w:rPr>
                <w:rFonts w:hint="default" w:ascii="Times New Roman" w:hAnsi="Times New Roman" w:eastAsia="宋体" w:cs="Times New Roman"/>
                <w:sz w:val="24"/>
                <w:szCs w:val="24"/>
              </w:rPr>
              <w:t>检测结果表明</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验收监测期间，</w:t>
            </w:r>
            <w:r>
              <w:rPr>
                <w:rFonts w:hint="eastAsia" w:ascii="Times New Roman" w:hAnsi="Times New Roman" w:eastAsia="宋体" w:cs="Times New Roman"/>
                <w:sz w:val="24"/>
                <w:szCs w:val="24"/>
                <w:lang w:val="en-US" w:eastAsia="zh-CN"/>
              </w:rPr>
              <w:t>DA001</w:t>
            </w:r>
            <w:r>
              <w:rPr>
                <w:rFonts w:hint="default" w:ascii="Times New Roman" w:hAnsi="Times New Roman" w:eastAsia="宋体" w:cs="Times New Roman"/>
                <w:sz w:val="24"/>
                <w:szCs w:val="24"/>
                <w:lang w:val="en-US" w:eastAsia="zh-CN"/>
              </w:rPr>
              <w:t>排气筒</w:t>
            </w:r>
            <w:r>
              <w:rPr>
                <w:rFonts w:hint="eastAsia" w:ascii="Times New Roman" w:hAnsi="Times New Roman" w:eastAsia="宋体" w:cs="Times New Roman"/>
                <w:sz w:val="24"/>
                <w:szCs w:val="24"/>
                <w:lang w:val="en-US" w:eastAsia="zh-CN"/>
              </w:rPr>
              <w:t>出口有组织</w:t>
            </w:r>
            <w:r>
              <w:rPr>
                <w:rFonts w:hint="default" w:ascii="Times New Roman" w:hAnsi="Times New Roman" w:eastAsia="宋体" w:cs="Times New Roman"/>
                <w:sz w:val="24"/>
                <w:szCs w:val="24"/>
                <w:lang w:val="en-US" w:eastAsia="zh-CN"/>
              </w:rPr>
              <w:t>VOCs</w:t>
            </w:r>
            <w:r>
              <w:rPr>
                <w:rFonts w:hint="eastAsia" w:ascii="Times New Roman" w:hAnsi="Times New Roman" w:eastAsia="宋体" w:cs="Times New Roman"/>
                <w:sz w:val="24"/>
                <w:szCs w:val="24"/>
                <w:lang w:val="en-US" w:eastAsia="zh-CN"/>
              </w:rPr>
              <w:t>最大</w:t>
            </w:r>
            <w:r>
              <w:rPr>
                <w:rFonts w:hint="default" w:ascii="Times New Roman" w:hAnsi="Times New Roman" w:eastAsia="宋体" w:cs="Times New Roman"/>
                <w:sz w:val="24"/>
                <w:szCs w:val="24"/>
                <w:lang w:val="en-US" w:eastAsia="zh-CN"/>
              </w:rPr>
              <w:t>排放浓度及</w:t>
            </w:r>
            <w:r>
              <w:rPr>
                <w:rFonts w:hint="eastAsia" w:ascii="Times New Roman" w:hAnsi="Times New Roman" w:eastAsia="宋体" w:cs="Times New Roman"/>
                <w:sz w:val="24"/>
                <w:szCs w:val="24"/>
                <w:lang w:val="en-US" w:eastAsia="zh-CN"/>
              </w:rPr>
              <w:t>最大</w:t>
            </w:r>
            <w:r>
              <w:rPr>
                <w:rFonts w:hint="default" w:ascii="Times New Roman" w:hAnsi="Times New Roman" w:eastAsia="宋体" w:cs="Times New Roman"/>
                <w:sz w:val="24"/>
                <w:szCs w:val="24"/>
                <w:lang w:val="en-US" w:eastAsia="zh-CN"/>
              </w:rPr>
              <w:t>速率分别为</w:t>
            </w:r>
            <w:r>
              <w:rPr>
                <w:rFonts w:hint="eastAsia" w:ascii="Times New Roman" w:hAnsi="Times New Roman" w:eastAsia="宋体" w:cs="Times New Roman"/>
                <w:sz w:val="24"/>
                <w:szCs w:val="24"/>
                <w:lang w:val="en-US" w:eastAsia="zh-CN"/>
              </w:rPr>
              <w:t>24.6</w:t>
            </w:r>
            <w:r>
              <w:rPr>
                <w:rFonts w:hint="default" w:ascii="Times New Roman" w:hAnsi="Times New Roman" w:eastAsia="宋体" w:cs="Times New Roman"/>
                <w:sz w:val="24"/>
                <w:szCs w:val="24"/>
                <w:lang w:val="en-US" w:eastAsia="zh-CN"/>
              </w:rPr>
              <w:t>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、0.0</w:t>
            </w:r>
            <w:r>
              <w:rPr>
                <w:rFonts w:hint="eastAsia" w:ascii="Times New Roman" w:hAnsi="Times New Roman" w:eastAsia="宋体" w:cs="Times New Roman"/>
                <w:sz w:val="24"/>
                <w:szCs w:val="24"/>
                <w:lang w:val="en-US" w:eastAsia="zh-CN"/>
              </w:rPr>
              <w:t>77</w:t>
            </w:r>
            <w:r>
              <w:rPr>
                <w:rFonts w:hint="default" w:ascii="Times New Roman" w:hAnsi="Times New Roman" w:eastAsia="宋体" w:cs="Times New Roman"/>
                <w:sz w:val="24"/>
                <w:szCs w:val="24"/>
                <w:lang w:val="en-US" w:eastAsia="zh-CN"/>
              </w:rPr>
              <w:t>kg/h，均满足《挥发性有机物排放标准 第6部分 有机化工行业》（DB37/2801.6-2018）表1中Ⅱ时段标准要求（VOCs：60mg/m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、3.0kg/h）</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200" w:right="0" w:rightChars="0"/>
              <w:jc w:val="left"/>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无组织</w:t>
            </w:r>
            <w:r>
              <w:rPr>
                <w:rFonts w:hint="eastAsia" w:ascii="Times New Roman" w:hAnsi="Times New Roman" w:cs="Times New Roman"/>
                <w:sz w:val="24"/>
                <w:szCs w:val="24"/>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eastAsia="zh-CN"/>
              </w:rPr>
              <w:t>淄博国源检测有限公司</w:t>
            </w:r>
            <w:r>
              <w:rPr>
                <w:rFonts w:hint="default" w:ascii="Times New Roman" w:hAnsi="Times New Roman" w:cs="Times New Roman"/>
                <w:sz w:val="24"/>
                <w:szCs w:val="24"/>
              </w:rPr>
              <w:t>于</w:t>
            </w:r>
            <w:r>
              <w:rPr>
                <w:rFonts w:hint="eastAsia" w:ascii="Times New Roman" w:hAnsi="Times New Roman" w:cs="Times New Roman"/>
                <w:sz w:val="24"/>
                <w:szCs w:val="24"/>
                <w:lang w:val="en-US" w:eastAsia="zh-CN"/>
              </w:rPr>
              <w:t>2023.10.12~10.13</w:t>
            </w:r>
            <w:r>
              <w:rPr>
                <w:rFonts w:hint="default" w:ascii="Times New Roman" w:hAnsi="Times New Roman" w:cs="Times New Roman"/>
                <w:color w:val="000000"/>
                <w:sz w:val="24"/>
                <w:szCs w:val="24"/>
              </w:rPr>
              <w:t>对厂区厂界无组织</w:t>
            </w:r>
            <w:r>
              <w:rPr>
                <w:rFonts w:hint="eastAsia" w:ascii="Times New Roman" w:hAnsi="Times New Roman" w:cs="Times New Roman"/>
                <w:color w:val="000000"/>
                <w:sz w:val="24"/>
                <w:szCs w:val="24"/>
                <w:lang w:val="en-US" w:eastAsia="zh-CN"/>
              </w:rPr>
              <w:t>废气</w:t>
            </w:r>
            <w:r>
              <w:rPr>
                <w:rFonts w:hint="default" w:ascii="Times New Roman" w:hAnsi="Times New Roman" w:cs="Times New Roman"/>
                <w:color w:val="000000"/>
                <w:sz w:val="24"/>
                <w:szCs w:val="24"/>
              </w:rPr>
              <w:t>排放浓度进行监测，</w:t>
            </w:r>
            <w:r>
              <w:rPr>
                <w:rFonts w:hint="default" w:ascii="Times New Roman" w:hAnsi="Times New Roman" w:cs="Times New Roman"/>
                <w:sz w:val="24"/>
                <w:szCs w:val="24"/>
                <w:lang w:val="en-US" w:eastAsia="zh-CN"/>
              </w:rPr>
              <w:t>验收</w:t>
            </w:r>
            <w:r>
              <w:rPr>
                <w:rFonts w:hint="eastAsia" w:cs="Times New Roman"/>
                <w:sz w:val="24"/>
                <w:szCs w:val="24"/>
                <w:lang w:val="en-US" w:eastAsia="zh-CN"/>
              </w:rPr>
              <w:t>检测</w:t>
            </w:r>
            <w:r>
              <w:rPr>
                <w:rFonts w:hint="default" w:ascii="Times New Roman" w:hAnsi="Times New Roman" w:cs="Times New Roman"/>
                <w:sz w:val="24"/>
                <w:szCs w:val="24"/>
                <w:lang w:val="en-US" w:eastAsia="zh-CN"/>
              </w:rPr>
              <w:t>期间，</w:t>
            </w:r>
            <w:r>
              <w:rPr>
                <w:rFonts w:hint="eastAsia" w:ascii="Times New Roman" w:hAnsi="Times New Roman" w:cs="Times New Roman"/>
                <w:sz w:val="24"/>
                <w:szCs w:val="24"/>
                <w:lang w:val="en-US" w:eastAsia="zh-CN"/>
              </w:rPr>
              <w:t>同时对</w:t>
            </w:r>
            <w:r>
              <w:rPr>
                <w:rFonts w:hint="default" w:ascii="Times New Roman" w:hAnsi="Times New Roman" w:cs="Times New Roman"/>
                <w:sz w:val="24"/>
                <w:szCs w:val="24"/>
                <w:lang w:val="en-US" w:eastAsia="zh-CN"/>
              </w:rPr>
              <w:t>气象参数</w:t>
            </w:r>
            <w:r>
              <w:rPr>
                <w:rFonts w:hint="eastAsia" w:ascii="Times New Roman" w:hAnsi="Times New Roman" w:cs="Times New Roman"/>
                <w:sz w:val="24"/>
                <w:szCs w:val="24"/>
                <w:lang w:val="en-US" w:eastAsia="zh-CN"/>
              </w:rPr>
              <w:t>进行检测</w:t>
            </w:r>
            <w:r>
              <w:rPr>
                <w:rFonts w:hint="default" w:ascii="Times New Roman" w:hAnsi="Times New Roman" w:cs="Times New Roman"/>
                <w:sz w:val="24"/>
                <w:szCs w:val="24"/>
                <w:lang w:val="en-US" w:eastAsia="zh-CN"/>
              </w:rPr>
              <w:t>，经适宜度分析，较适宜无组织排放监测。</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val="en-US" w:eastAsia="zh-CN"/>
              </w:rPr>
              <w:t>表</w:t>
            </w:r>
            <w:r>
              <w:rPr>
                <w:rFonts w:hint="eastAsia" w:ascii="Times New Roman" w:hAnsi="Times New Roman" w:eastAsia="宋体" w:cs="Times New Roman"/>
                <w:b/>
                <w:bCs/>
                <w:kern w:val="0"/>
                <w:sz w:val="24"/>
                <w:szCs w:val="24"/>
                <w:lang w:val="en-US" w:eastAsia="zh-CN"/>
              </w:rPr>
              <w:t>9-2  检测</w:t>
            </w:r>
            <w:r>
              <w:rPr>
                <w:rFonts w:hint="default" w:ascii="Times New Roman" w:hAnsi="Times New Roman" w:eastAsia="宋体" w:cs="Times New Roman"/>
                <w:b/>
                <w:bCs/>
                <w:kern w:val="0"/>
                <w:sz w:val="24"/>
                <w:szCs w:val="24"/>
                <w:lang w:val="en-US" w:eastAsia="zh-CN"/>
              </w:rPr>
              <w:t>期间气象参数</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921"/>
              <w:gridCol w:w="830"/>
              <w:gridCol w:w="675"/>
              <w:gridCol w:w="812"/>
              <w:gridCol w:w="812"/>
              <w:gridCol w:w="930"/>
              <w:gridCol w:w="691"/>
              <w:gridCol w:w="675"/>
              <w:gridCol w:w="948"/>
              <w:gridCol w:w="9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35"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监测</w:t>
                  </w:r>
                </w:p>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日期</w:t>
                  </w:r>
                </w:p>
              </w:tc>
              <w:tc>
                <w:tcPr>
                  <w:tcW w:w="512"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监测</w:t>
                  </w:r>
                </w:p>
                <w:p>
                  <w:pPr>
                    <w:snapToGrid w:val="0"/>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频次</w:t>
                  </w:r>
                </w:p>
              </w:tc>
              <w:tc>
                <w:tcPr>
                  <w:tcW w:w="461"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监测</w:t>
                  </w:r>
                </w:p>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时间</w:t>
                  </w:r>
                </w:p>
              </w:tc>
              <w:tc>
                <w:tcPr>
                  <w:tcW w:w="375"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天气</w:t>
                  </w:r>
                </w:p>
              </w:tc>
              <w:tc>
                <w:tcPr>
                  <w:tcW w:w="451"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温度</w:t>
                  </w:r>
                </w:p>
                <w:p>
                  <w:pPr>
                    <w:snapToGrid w:val="0"/>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w:t>
                  </w:r>
                </w:p>
              </w:tc>
              <w:tc>
                <w:tcPr>
                  <w:tcW w:w="451" w:type="pct"/>
                  <w:tcBorders>
                    <w:tl2br w:val="nil"/>
                    <w:tr2bl w:val="nil"/>
                  </w:tcBorders>
                </w:tcPr>
                <w:p>
                  <w:pPr>
                    <w:snapToGrid w:val="0"/>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湿度</w:t>
                  </w:r>
                </w:p>
                <w:p>
                  <w:pPr>
                    <w:snapToGrid w:val="0"/>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%RH</w:t>
                  </w:r>
                </w:p>
              </w:tc>
              <w:tc>
                <w:tcPr>
                  <w:tcW w:w="517"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气压kPa</w:t>
                  </w:r>
                </w:p>
              </w:tc>
              <w:tc>
                <w:tcPr>
                  <w:tcW w:w="384"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风速m/s</w:t>
                  </w:r>
                </w:p>
              </w:tc>
              <w:tc>
                <w:tcPr>
                  <w:tcW w:w="375"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风向</w:t>
                  </w:r>
                </w:p>
              </w:tc>
              <w:tc>
                <w:tcPr>
                  <w:tcW w:w="527"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总云量</w:t>
                  </w:r>
                </w:p>
              </w:tc>
              <w:tc>
                <w:tcPr>
                  <w:tcW w:w="508"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低云量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35" w:type="pct"/>
                  <w:vMerge w:val="restar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2023年10月12日</w:t>
                  </w:r>
                </w:p>
              </w:tc>
              <w:tc>
                <w:tcPr>
                  <w:tcW w:w="512"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第一次</w:t>
                  </w:r>
                </w:p>
              </w:tc>
              <w:tc>
                <w:tcPr>
                  <w:tcW w:w="461"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08:36</w:t>
                  </w:r>
                </w:p>
              </w:tc>
              <w:tc>
                <w:tcPr>
                  <w:tcW w:w="375"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晴</w:t>
                  </w:r>
                </w:p>
              </w:tc>
              <w:tc>
                <w:tcPr>
                  <w:tcW w:w="451"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19.0</w:t>
                  </w:r>
                </w:p>
              </w:tc>
              <w:tc>
                <w:tcPr>
                  <w:tcW w:w="451"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56</w:t>
                  </w:r>
                </w:p>
              </w:tc>
              <w:tc>
                <w:tcPr>
                  <w:tcW w:w="517"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101.90</w:t>
                  </w:r>
                </w:p>
              </w:tc>
              <w:tc>
                <w:tcPr>
                  <w:tcW w:w="384"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w:t>
                  </w:r>
                </w:p>
              </w:tc>
              <w:tc>
                <w:tcPr>
                  <w:tcW w:w="375"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南</w:t>
                  </w:r>
                </w:p>
              </w:tc>
              <w:tc>
                <w:tcPr>
                  <w:tcW w:w="527"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w:t>
                  </w:r>
                </w:p>
              </w:tc>
              <w:tc>
                <w:tcPr>
                  <w:tcW w:w="508"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35" w:type="pct"/>
                  <w:vMerge w:val="continue"/>
                  <w:tcBorders>
                    <w:tl2br w:val="nil"/>
                    <w:tr2bl w:val="nil"/>
                  </w:tcBorders>
                  <w:vAlign w:val="center"/>
                </w:tcPr>
                <w:p>
                  <w:pPr>
                    <w:snapToGrid w:val="0"/>
                    <w:spacing w:line="240" w:lineRule="auto"/>
                    <w:jc w:val="center"/>
                    <w:rPr>
                      <w:rFonts w:ascii="Times New Roman" w:hAnsi="Times New Roman" w:eastAsia="宋体" w:cs="Times New Roman"/>
                      <w:sz w:val="21"/>
                      <w:szCs w:val="21"/>
                    </w:rPr>
                  </w:pPr>
                </w:p>
              </w:tc>
              <w:tc>
                <w:tcPr>
                  <w:tcW w:w="512"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第二次</w:t>
                  </w:r>
                </w:p>
              </w:tc>
              <w:tc>
                <w:tcPr>
                  <w:tcW w:w="461"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09:40</w:t>
                  </w:r>
                </w:p>
              </w:tc>
              <w:tc>
                <w:tcPr>
                  <w:tcW w:w="375"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晴</w:t>
                  </w:r>
                </w:p>
              </w:tc>
              <w:tc>
                <w:tcPr>
                  <w:tcW w:w="451"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20.4</w:t>
                  </w:r>
                </w:p>
              </w:tc>
              <w:tc>
                <w:tcPr>
                  <w:tcW w:w="451"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54</w:t>
                  </w:r>
                </w:p>
              </w:tc>
              <w:tc>
                <w:tcPr>
                  <w:tcW w:w="517"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101.91</w:t>
                  </w:r>
                </w:p>
              </w:tc>
              <w:tc>
                <w:tcPr>
                  <w:tcW w:w="384"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w:t>
                  </w:r>
                </w:p>
              </w:tc>
              <w:tc>
                <w:tcPr>
                  <w:tcW w:w="375"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南</w:t>
                  </w:r>
                </w:p>
              </w:tc>
              <w:tc>
                <w:tcPr>
                  <w:tcW w:w="527"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508"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35" w:type="pct"/>
                  <w:vMerge w:val="continue"/>
                  <w:tcBorders>
                    <w:tl2br w:val="nil"/>
                    <w:tr2bl w:val="nil"/>
                  </w:tcBorders>
                  <w:vAlign w:val="center"/>
                </w:tcPr>
                <w:p>
                  <w:pPr>
                    <w:snapToGrid w:val="0"/>
                    <w:spacing w:line="240" w:lineRule="auto"/>
                    <w:jc w:val="center"/>
                    <w:rPr>
                      <w:rFonts w:ascii="Times New Roman" w:hAnsi="Times New Roman" w:eastAsia="宋体" w:cs="Times New Roman"/>
                      <w:sz w:val="21"/>
                      <w:szCs w:val="21"/>
                    </w:rPr>
                  </w:pPr>
                </w:p>
              </w:tc>
              <w:tc>
                <w:tcPr>
                  <w:tcW w:w="512"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第三次</w:t>
                  </w:r>
                </w:p>
              </w:tc>
              <w:tc>
                <w:tcPr>
                  <w:tcW w:w="461"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10:44</w:t>
                  </w:r>
                </w:p>
              </w:tc>
              <w:tc>
                <w:tcPr>
                  <w:tcW w:w="375"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晴</w:t>
                  </w:r>
                </w:p>
              </w:tc>
              <w:tc>
                <w:tcPr>
                  <w:tcW w:w="451"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21.3</w:t>
                  </w:r>
                </w:p>
              </w:tc>
              <w:tc>
                <w:tcPr>
                  <w:tcW w:w="451"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52</w:t>
                  </w:r>
                </w:p>
              </w:tc>
              <w:tc>
                <w:tcPr>
                  <w:tcW w:w="517"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101.87</w:t>
                  </w:r>
                </w:p>
              </w:tc>
              <w:tc>
                <w:tcPr>
                  <w:tcW w:w="384"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w:t>
                  </w:r>
                </w:p>
              </w:tc>
              <w:tc>
                <w:tcPr>
                  <w:tcW w:w="375"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南</w:t>
                  </w:r>
                </w:p>
              </w:tc>
              <w:tc>
                <w:tcPr>
                  <w:tcW w:w="527"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508"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35" w:type="pct"/>
                  <w:vMerge w:val="continue"/>
                  <w:tcBorders>
                    <w:tl2br w:val="nil"/>
                    <w:tr2bl w:val="nil"/>
                  </w:tcBorders>
                  <w:vAlign w:val="center"/>
                </w:tcPr>
                <w:p>
                  <w:pPr>
                    <w:snapToGrid w:val="0"/>
                    <w:spacing w:line="240" w:lineRule="auto"/>
                    <w:jc w:val="center"/>
                    <w:rPr>
                      <w:rFonts w:ascii="Times New Roman" w:hAnsi="Times New Roman" w:eastAsia="宋体" w:cs="Times New Roman"/>
                      <w:sz w:val="21"/>
                      <w:szCs w:val="21"/>
                    </w:rPr>
                  </w:pPr>
                </w:p>
              </w:tc>
              <w:tc>
                <w:tcPr>
                  <w:tcW w:w="512"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第四次</w:t>
                  </w:r>
                </w:p>
              </w:tc>
              <w:tc>
                <w:tcPr>
                  <w:tcW w:w="461" w:type="pct"/>
                  <w:tcBorders>
                    <w:tl2br w:val="nil"/>
                    <w:tr2bl w:val="nil"/>
                  </w:tcBorders>
                  <w:vAlign w:val="center"/>
                </w:tcPr>
                <w:p>
                  <w:pPr>
                    <w:snapToGrid w:val="0"/>
                    <w:spacing w:line="24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11:59</w:t>
                  </w:r>
                </w:p>
              </w:tc>
              <w:tc>
                <w:tcPr>
                  <w:tcW w:w="375" w:type="pct"/>
                  <w:tcBorders>
                    <w:tl2br w:val="nil"/>
                    <w:tr2bl w:val="nil"/>
                  </w:tcBorders>
                  <w:vAlign w:val="center"/>
                </w:tcPr>
                <w:p>
                  <w:pPr>
                    <w:snapToGrid w:val="0"/>
                    <w:spacing w:line="24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晴</w:t>
                  </w:r>
                </w:p>
              </w:tc>
              <w:tc>
                <w:tcPr>
                  <w:tcW w:w="451" w:type="pct"/>
                  <w:tcBorders>
                    <w:tl2br w:val="nil"/>
                    <w:tr2bl w:val="nil"/>
                  </w:tcBorders>
                  <w:vAlign w:val="center"/>
                </w:tcPr>
                <w:p>
                  <w:pPr>
                    <w:snapToGrid w:val="0"/>
                    <w:spacing w:line="24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21.9</w:t>
                  </w:r>
                </w:p>
              </w:tc>
              <w:tc>
                <w:tcPr>
                  <w:tcW w:w="451" w:type="pct"/>
                  <w:tcBorders>
                    <w:tl2br w:val="nil"/>
                    <w:tr2bl w:val="nil"/>
                  </w:tcBorders>
                  <w:vAlign w:val="center"/>
                </w:tcPr>
                <w:p>
                  <w:pPr>
                    <w:snapToGrid w:val="0"/>
                    <w:spacing w:line="24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50</w:t>
                  </w:r>
                </w:p>
              </w:tc>
              <w:tc>
                <w:tcPr>
                  <w:tcW w:w="517" w:type="pct"/>
                  <w:tcBorders>
                    <w:tl2br w:val="nil"/>
                    <w:tr2bl w:val="nil"/>
                  </w:tcBorders>
                  <w:vAlign w:val="center"/>
                </w:tcPr>
                <w:p>
                  <w:pPr>
                    <w:snapToGrid w:val="0"/>
                    <w:spacing w:line="24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101.86</w:t>
                  </w:r>
                </w:p>
              </w:tc>
              <w:tc>
                <w:tcPr>
                  <w:tcW w:w="384" w:type="pct"/>
                  <w:tcBorders>
                    <w:tl2br w:val="nil"/>
                    <w:tr2bl w:val="nil"/>
                  </w:tcBorders>
                  <w:vAlign w:val="center"/>
                </w:tcPr>
                <w:p>
                  <w:pPr>
                    <w:snapToGrid w:val="0"/>
                    <w:spacing w:line="24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1.1</w:t>
                  </w:r>
                </w:p>
              </w:tc>
              <w:tc>
                <w:tcPr>
                  <w:tcW w:w="375" w:type="pct"/>
                  <w:tcBorders>
                    <w:tl2br w:val="nil"/>
                    <w:tr2bl w:val="nil"/>
                  </w:tcBorders>
                  <w:vAlign w:val="center"/>
                </w:tcPr>
                <w:p>
                  <w:pPr>
                    <w:snapToGrid w:val="0"/>
                    <w:spacing w:line="24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南</w:t>
                  </w:r>
                </w:p>
              </w:tc>
              <w:tc>
                <w:tcPr>
                  <w:tcW w:w="527" w:type="pct"/>
                  <w:tcBorders>
                    <w:tl2br w:val="nil"/>
                    <w:tr2bl w:val="nil"/>
                  </w:tcBorders>
                  <w:vAlign w:val="center"/>
                </w:tcPr>
                <w:p>
                  <w:pPr>
                    <w:snapToGrid w:val="0"/>
                    <w:spacing w:line="24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508" w:type="pct"/>
                  <w:tcBorders>
                    <w:tl2br w:val="nil"/>
                    <w:tr2bl w:val="nil"/>
                  </w:tcBorders>
                  <w:vAlign w:val="center"/>
                </w:tcPr>
                <w:p>
                  <w:pPr>
                    <w:snapToGrid w:val="0"/>
                    <w:spacing w:line="24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35"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监测</w:t>
                  </w:r>
                </w:p>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日期</w:t>
                  </w:r>
                </w:p>
              </w:tc>
              <w:tc>
                <w:tcPr>
                  <w:tcW w:w="512"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监测</w:t>
                  </w:r>
                </w:p>
                <w:p>
                  <w:pPr>
                    <w:snapToGrid w:val="0"/>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频次</w:t>
                  </w:r>
                </w:p>
              </w:tc>
              <w:tc>
                <w:tcPr>
                  <w:tcW w:w="461"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监测</w:t>
                  </w:r>
                </w:p>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时间</w:t>
                  </w:r>
                </w:p>
              </w:tc>
              <w:tc>
                <w:tcPr>
                  <w:tcW w:w="375"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天气</w:t>
                  </w:r>
                </w:p>
              </w:tc>
              <w:tc>
                <w:tcPr>
                  <w:tcW w:w="451"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温度</w:t>
                  </w:r>
                </w:p>
                <w:p>
                  <w:pPr>
                    <w:snapToGrid w:val="0"/>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w:t>
                  </w:r>
                </w:p>
              </w:tc>
              <w:tc>
                <w:tcPr>
                  <w:tcW w:w="451" w:type="pct"/>
                  <w:tcBorders>
                    <w:tl2br w:val="nil"/>
                    <w:tr2bl w:val="nil"/>
                  </w:tcBorders>
                </w:tcPr>
                <w:p>
                  <w:pPr>
                    <w:snapToGrid w:val="0"/>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湿度</w:t>
                  </w:r>
                </w:p>
                <w:p>
                  <w:pPr>
                    <w:snapToGrid w:val="0"/>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%RH</w:t>
                  </w:r>
                </w:p>
              </w:tc>
              <w:tc>
                <w:tcPr>
                  <w:tcW w:w="517"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气压kPa</w:t>
                  </w:r>
                </w:p>
              </w:tc>
              <w:tc>
                <w:tcPr>
                  <w:tcW w:w="384"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风速m/s</w:t>
                  </w:r>
                </w:p>
              </w:tc>
              <w:tc>
                <w:tcPr>
                  <w:tcW w:w="375"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风向</w:t>
                  </w:r>
                </w:p>
              </w:tc>
              <w:tc>
                <w:tcPr>
                  <w:tcW w:w="527"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总云量</w:t>
                  </w:r>
                </w:p>
              </w:tc>
              <w:tc>
                <w:tcPr>
                  <w:tcW w:w="508" w:type="pct"/>
                  <w:tcBorders>
                    <w:tl2br w:val="nil"/>
                    <w:tr2bl w:val="nil"/>
                  </w:tcBorders>
                  <w:vAlign w:val="center"/>
                </w:tcPr>
                <w:p>
                  <w:pPr>
                    <w:snapToGrid w:val="0"/>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低云量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35" w:type="pct"/>
                  <w:vMerge w:val="restar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2023年10月13日</w:t>
                  </w:r>
                </w:p>
              </w:tc>
              <w:tc>
                <w:tcPr>
                  <w:tcW w:w="512"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第一次</w:t>
                  </w:r>
                </w:p>
              </w:tc>
              <w:tc>
                <w:tcPr>
                  <w:tcW w:w="461"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08:25</w:t>
                  </w:r>
                </w:p>
              </w:tc>
              <w:tc>
                <w:tcPr>
                  <w:tcW w:w="375"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多云</w:t>
                  </w:r>
                </w:p>
              </w:tc>
              <w:tc>
                <w:tcPr>
                  <w:tcW w:w="451"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18.4</w:t>
                  </w:r>
                </w:p>
              </w:tc>
              <w:tc>
                <w:tcPr>
                  <w:tcW w:w="451"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62</w:t>
                  </w:r>
                </w:p>
              </w:tc>
              <w:tc>
                <w:tcPr>
                  <w:tcW w:w="517"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101.84</w:t>
                  </w:r>
                </w:p>
              </w:tc>
              <w:tc>
                <w:tcPr>
                  <w:tcW w:w="384"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w:t>
                  </w:r>
                </w:p>
              </w:tc>
              <w:tc>
                <w:tcPr>
                  <w:tcW w:w="375"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西南</w:t>
                  </w:r>
                </w:p>
              </w:tc>
              <w:tc>
                <w:tcPr>
                  <w:tcW w:w="527"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w:t>
                  </w:r>
                </w:p>
              </w:tc>
              <w:tc>
                <w:tcPr>
                  <w:tcW w:w="508"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35" w:type="pct"/>
                  <w:vMerge w:val="continue"/>
                  <w:tcBorders>
                    <w:tl2br w:val="nil"/>
                    <w:tr2bl w:val="nil"/>
                  </w:tcBorders>
                  <w:vAlign w:val="center"/>
                </w:tcPr>
                <w:p>
                  <w:pPr>
                    <w:snapToGrid w:val="0"/>
                    <w:spacing w:line="240" w:lineRule="auto"/>
                    <w:jc w:val="center"/>
                    <w:rPr>
                      <w:rFonts w:ascii="Times New Roman" w:hAnsi="Times New Roman" w:eastAsia="宋体" w:cs="Times New Roman"/>
                      <w:sz w:val="21"/>
                      <w:szCs w:val="21"/>
                    </w:rPr>
                  </w:pPr>
                </w:p>
              </w:tc>
              <w:tc>
                <w:tcPr>
                  <w:tcW w:w="512"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第二次</w:t>
                  </w:r>
                </w:p>
              </w:tc>
              <w:tc>
                <w:tcPr>
                  <w:tcW w:w="461"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09:26</w:t>
                  </w:r>
                </w:p>
              </w:tc>
              <w:tc>
                <w:tcPr>
                  <w:tcW w:w="375"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多云</w:t>
                  </w:r>
                </w:p>
              </w:tc>
              <w:tc>
                <w:tcPr>
                  <w:tcW w:w="451"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19.5</w:t>
                  </w:r>
                </w:p>
              </w:tc>
              <w:tc>
                <w:tcPr>
                  <w:tcW w:w="451"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60</w:t>
                  </w:r>
                </w:p>
              </w:tc>
              <w:tc>
                <w:tcPr>
                  <w:tcW w:w="517"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101.82</w:t>
                  </w:r>
                </w:p>
              </w:tc>
              <w:tc>
                <w:tcPr>
                  <w:tcW w:w="384"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w:t>
                  </w:r>
                </w:p>
              </w:tc>
              <w:tc>
                <w:tcPr>
                  <w:tcW w:w="375"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西南</w:t>
                  </w:r>
                </w:p>
              </w:tc>
              <w:tc>
                <w:tcPr>
                  <w:tcW w:w="527"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w:t>
                  </w:r>
                </w:p>
              </w:tc>
              <w:tc>
                <w:tcPr>
                  <w:tcW w:w="508"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35" w:type="pct"/>
                  <w:vMerge w:val="continue"/>
                  <w:tcBorders>
                    <w:tl2br w:val="nil"/>
                    <w:tr2bl w:val="nil"/>
                  </w:tcBorders>
                  <w:vAlign w:val="center"/>
                </w:tcPr>
                <w:p>
                  <w:pPr>
                    <w:snapToGrid w:val="0"/>
                    <w:spacing w:line="240" w:lineRule="auto"/>
                    <w:jc w:val="center"/>
                    <w:rPr>
                      <w:rFonts w:ascii="Times New Roman" w:hAnsi="Times New Roman" w:eastAsia="宋体" w:cs="Times New Roman"/>
                      <w:sz w:val="21"/>
                      <w:szCs w:val="21"/>
                    </w:rPr>
                  </w:pPr>
                </w:p>
              </w:tc>
              <w:tc>
                <w:tcPr>
                  <w:tcW w:w="512"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第三次</w:t>
                  </w:r>
                </w:p>
              </w:tc>
              <w:tc>
                <w:tcPr>
                  <w:tcW w:w="461"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10:27</w:t>
                  </w:r>
                </w:p>
              </w:tc>
              <w:tc>
                <w:tcPr>
                  <w:tcW w:w="375"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多云</w:t>
                  </w:r>
                </w:p>
              </w:tc>
              <w:tc>
                <w:tcPr>
                  <w:tcW w:w="451"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19.7</w:t>
                  </w:r>
                </w:p>
              </w:tc>
              <w:tc>
                <w:tcPr>
                  <w:tcW w:w="451"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60</w:t>
                  </w:r>
                </w:p>
              </w:tc>
              <w:tc>
                <w:tcPr>
                  <w:tcW w:w="517"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101.82</w:t>
                  </w:r>
                </w:p>
              </w:tc>
              <w:tc>
                <w:tcPr>
                  <w:tcW w:w="384"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w:t>
                  </w:r>
                </w:p>
              </w:tc>
              <w:tc>
                <w:tcPr>
                  <w:tcW w:w="375"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西南</w:t>
                  </w:r>
                </w:p>
              </w:tc>
              <w:tc>
                <w:tcPr>
                  <w:tcW w:w="527"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w:t>
                  </w:r>
                </w:p>
              </w:tc>
              <w:tc>
                <w:tcPr>
                  <w:tcW w:w="508"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35" w:type="pct"/>
                  <w:vMerge w:val="continue"/>
                  <w:tcBorders>
                    <w:tl2br w:val="nil"/>
                    <w:tr2bl w:val="nil"/>
                  </w:tcBorders>
                  <w:vAlign w:val="center"/>
                </w:tcPr>
                <w:p>
                  <w:pPr>
                    <w:snapToGrid w:val="0"/>
                    <w:spacing w:line="240" w:lineRule="auto"/>
                    <w:jc w:val="center"/>
                    <w:rPr>
                      <w:rFonts w:ascii="Times New Roman" w:hAnsi="Times New Roman" w:eastAsia="宋体" w:cs="Times New Roman"/>
                      <w:sz w:val="21"/>
                      <w:szCs w:val="21"/>
                    </w:rPr>
                  </w:pPr>
                </w:p>
              </w:tc>
              <w:tc>
                <w:tcPr>
                  <w:tcW w:w="512" w:type="pct"/>
                  <w:tcBorders>
                    <w:tl2br w:val="nil"/>
                    <w:tr2bl w:val="nil"/>
                  </w:tcBorders>
                  <w:vAlign w:val="center"/>
                </w:tcPr>
                <w:p>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第四次</w:t>
                  </w:r>
                </w:p>
              </w:tc>
              <w:tc>
                <w:tcPr>
                  <w:tcW w:w="461" w:type="pct"/>
                  <w:tcBorders>
                    <w:tl2br w:val="nil"/>
                    <w:tr2bl w:val="nil"/>
                  </w:tcBorders>
                  <w:vAlign w:val="center"/>
                </w:tcPr>
                <w:p>
                  <w:pPr>
                    <w:snapToGrid w:val="0"/>
                    <w:spacing w:line="24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11:42</w:t>
                  </w:r>
                </w:p>
              </w:tc>
              <w:tc>
                <w:tcPr>
                  <w:tcW w:w="375" w:type="pct"/>
                  <w:tcBorders>
                    <w:tl2br w:val="nil"/>
                    <w:tr2bl w:val="nil"/>
                  </w:tcBorders>
                  <w:vAlign w:val="center"/>
                </w:tcPr>
                <w:p>
                  <w:pPr>
                    <w:snapToGrid w:val="0"/>
                    <w:spacing w:line="24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多云</w:t>
                  </w:r>
                </w:p>
              </w:tc>
              <w:tc>
                <w:tcPr>
                  <w:tcW w:w="451" w:type="pct"/>
                  <w:tcBorders>
                    <w:tl2br w:val="nil"/>
                    <w:tr2bl w:val="nil"/>
                  </w:tcBorders>
                  <w:vAlign w:val="center"/>
                </w:tcPr>
                <w:p>
                  <w:pPr>
                    <w:snapToGrid w:val="0"/>
                    <w:spacing w:line="24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20.1</w:t>
                  </w:r>
                </w:p>
              </w:tc>
              <w:tc>
                <w:tcPr>
                  <w:tcW w:w="451" w:type="pct"/>
                  <w:tcBorders>
                    <w:tl2br w:val="nil"/>
                    <w:tr2bl w:val="nil"/>
                  </w:tcBorders>
                  <w:vAlign w:val="center"/>
                </w:tcPr>
                <w:p>
                  <w:pPr>
                    <w:snapToGrid w:val="0"/>
                    <w:spacing w:line="24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60</w:t>
                  </w:r>
                </w:p>
              </w:tc>
              <w:tc>
                <w:tcPr>
                  <w:tcW w:w="517" w:type="pct"/>
                  <w:tcBorders>
                    <w:tl2br w:val="nil"/>
                    <w:tr2bl w:val="nil"/>
                  </w:tcBorders>
                  <w:vAlign w:val="center"/>
                </w:tcPr>
                <w:p>
                  <w:pPr>
                    <w:snapToGrid w:val="0"/>
                    <w:spacing w:line="24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101.81</w:t>
                  </w:r>
                </w:p>
              </w:tc>
              <w:tc>
                <w:tcPr>
                  <w:tcW w:w="384" w:type="pct"/>
                  <w:tcBorders>
                    <w:tl2br w:val="nil"/>
                    <w:tr2bl w:val="nil"/>
                  </w:tcBorders>
                  <w:vAlign w:val="center"/>
                </w:tcPr>
                <w:p>
                  <w:pPr>
                    <w:snapToGrid w:val="0"/>
                    <w:spacing w:line="24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1.2</w:t>
                  </w:r>
                </w:p>
              </w:tc>
              <w:tc>
                <w:tcPr>
                  <w:tcW w:w="375" w:type="pct"/>
                  <w:tcBorders>
                    <w:tl2br w:val="nil"/>
                    <w:tr2bl w:val="nil"/>
                  </w:tcBorders>
                  <w:vAlign w:val="center"/>
                </w:tcPr>
                <w:p>
                  <w:pPr>
                    <w:snapToGrid w:val="0"/>
                    <w:spacing w:line="24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西南</w:t>
                  </w:r>
                </w:p>
              </w:tc>
              <w:tc>
                <w:tcPr>
                  <w:tcW w:w="527" w:type="pct"/>
                  <w:tcBorders>
                    <w:tl2br w:val="nil"/>
                    <w:tr2bl w:val="nil"/>
                  </w:tcBorders>
                  <w:vAlign w:val="center"/>
                </w:tcPr>
                <w:p>
                  <w:pPr>
                    <w:snapToGrid w:val="0"/>
                    <w:spacing w:line="24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6</w:t>
                  </w:r>
                </w:p>
              </w:tc>
              <w:tc>
                <w:tcPr>
                  <w:tcW w:w="508" w:type="pct"/>
                  <w:tcBorders>
                    <w:tl2br w:val="nil"/>
                    <w:tr2bl w:val="nil"/>
                  </w:tcBorders>
                  <w:vAlign w:val="center"/>
                </w:tcPr>
                <w:p>
                  <w:pPr>
                    <w:snapToGrid w:val="0"/>
                    <w:spacing w:line="24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5</w:t>
                  </w:r>
                </w:p>
              </w:tc>
            </w:tr>
          </w:tbl>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b/>
                <w:bCs/>
                <w:lang w:val="en-US" w:eastAsia="zh-CN"/>
              </w:rPr>
            </w:pPr>
            <w:r>
              <w:rPr>
                <w:rFonts w:hint="default" w:ascii="Times New Roman" w:hAnsi="Times New Roman" w:cs="Times New Roman"/>
                <w:b/>
                <w:bCs/>
                <w:sz w:val="24"/>
                <w:szCs w:val="24"/>
              </w:rPr>
              <w:t>表</w:t>
            </w:r>
            <w:r>
              <w:rPr>
                <w:rFonts w:hint="eastAsia" w:ascii="Times New Roman" w:hAnsi="Times New Roman" w:cs="Times New Roman"/>
                <w:b/>
                <w:bCs/>
                <w:sz w:val="24"/>
                <w:szCs w:val="24"/>
                <w:lang w:val="en-US" w:eastAsia="zh-CN"/>
              </w:rPr>
              <w:t>9-3</w:t>
            </w:r>
            <w:r>
              <w:rPr>
                <w:rFonts w:hint="default" w:ascii="Times New Roman" w:hAnsi="Times New Roman" w:cs="Times New Roman"/>
                <w:b/>
                <w:bCs/>
                <w:sz w:val="24"/>
                <w:szCs w:val="24"/>
              </w:rPr>
              <w:t xml:space="preserve"> </w:t>
            </w:r>
            <w:r>
              <w:rPr>
                <w:rFonts w:hint="eastAsia" w:ascii="Times New Roman" w:hAnsi="Times New Roman" w:cs="Times New Roman"/>
                <w:b/>
                <w:bCs/>
                <w:sz w:val="24"/>
                <w:szCs w:val="24"/>
                <w:lang w:val="en-US" w:eastAsia="zh-CN"/>
              </w:rPr>
              <w:t xml:space="preserve"> 厂界废气</w:t>
            </w:r>
            <w:r>
              <w:rPr>
                <w:rFonts w:hint="default" w:ascii="Times New Roman" w:hAnsi="Times New Roman" w:cs="Times New Roman"/>
                <w:b/>
                <w:bCs/>
                <w:sz w:val="24"/>
                <w:szCs w:val="24"/>
              </w:rPr>
              <w:t>检测结果一览表</w:t>
            </w:r>
          </w:p>
          <w:tbl>
            <w:tblPr>
              <w:tblStyle w:val="2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970"/>
              <w:gridCol w:w="1468"/>
              <w:gridCol w:w="1070"/>
              <w:gridCol w:w="1070"/>
              <w:gridCol w:w="1070"/>
              <w:gridCol w:w="1070"/>
              <w:gridCol w:w="127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95" w:type="pct"/>
                  <w:vMerge w:val="restart"/>
                  <w:tcBorders>
                    <w:tl2br w:val="nil"/>
                    <w:tr2bl w:val="nil"/>
                  </w:tcBorders>
                  <w:vAlign w:val="center"/>
                </w:tcPr>
                <w:p>
                  <w:pPr>
                    <w:snapToGrid w:val="0"/>
                    <w:spacing w:line="240" w:lineRule="auto"/>
                    <w:jc w:val="center"/>
                    <w:rPr>
                      <w:b/>
                      <w:sz w:val="21"/>
                      <w:szCs w:val="21"/>
                    </w:rPr>
                  </w:pPr>
                  <w:r>
                    <w:rPr>
                      <w:rFonts w:hint="eastAsia"/>
                      <w:b/>
                      <w:sz w:val="21"/>
                      <w:szCs w:val="21"/>
                    </w:rPr>
                    <w:t>采样点位</w:t>
                  </w:r>
                </w:p>
              </w:tc>
              <w:tc>
                <w:tcPr>
                  <w:tcW w:w="816" w:type="pct"/>
                  <w:vMerge w:val="restart"/>
                  <w:tcBorders>
                    <w:tl2br w:val="nil"/>
                    <w:tr2bl w:val="nil"/>
                  </w:tcBorders>
                  <w:vAlign w:val="center"/>
                </w:tcPr>
                <w:p>
                  <w:pPr>
                    <w:snapToGrid w:val="0"/>
                    <w:spacing w:line="240" w:lineRule="auto"/>
                    <w:jc w:val="center"/>
                    <w:rPr>
                      <w:b/>
                      <w:sz w:val="21"/>
                      <w:szCs w:val="21"/>
                    </w:rPr>
                  </w:pPr>
                  <w:r>
                    <w:rPr>
                      <w:rFonts w:hint="eastAsia"/>
                      <w:b/>
                      <w:sz w:val="21"/>
                      <w:szCs w:val="21"/>
                    </w:rPr>
                    <w:t>监测项目</w:t>
                  </w:r>
                </w:p>
              </w:tc>
              <w:tc>
                <w:tcPr>
                  <w:tcW w:w="2380" w:type="pct"/>
                  <w:gridSpan w:val="4"/>
                  <w:tcBorders>
                    <w:tl2br w:val="nil"/>
                    <w:tr2bl w:val="nil"/>
                  </w:tcBorders>
                  <w:vAlign w:val="center"/>
                </w:tcPr>
                <w:p>
                  <w:pPr>
                    <w:snapToGrid w:val="0"/>
                    <w:spacing w:line="240" w:lineRule="auto"/>
                    <w:jc w:val="center"/>
                    <w:rPr>
                      <w:b/>
                      <w:sz w:val="21"/>
                      <w:szCs w:val="21"/>
                    </w:rPr>
                  </w:pPr>
                  <w:r>
                    <w:rPr>
                      <w:rFonts w:hint="eastAsia"/>
                      <w:b/>
                      <w:sz w:val="21"/>
                      <w:szCs w:val="21"/>
                    </w:rPr>
                    <w:t>2023年10月12日采样监测结果</w:t>
                  </w:r>
                </w:p>
              </w:tc>
              <w:tc>
                <w:tcPr>
                  <w:tcW w:w="708" w:type="pct"/>
                  <w:vMerge w:val="restart"/>
                  <w:tcBorders>
                    <w:tl2br w:val="nil"/>
                    <w:tr2bl w:val="nil"/>
                  </w:tcBorders>
                  <w:vAlign w:val="center"/>
                </w:tcPr>
                <w:p>
                  <w:pPr>
                    <w:snapToGrid w:val="0"/>
                    <w:spacing w:line="240" w:lineRule="auto"/>
                    <w:jc w:val="center"/>
                    <w:rPr>
                      <w:sz w:val="21"/>
                      <w:szCs w:val="21"/>
                    </w:rPr>
                  </w:pPr>
                  <w:r>
                    <w:rPr>
                      <w:rFonts w:hint="eastAsia"/>
                      <w:b/>
                      <w:sz w:val="21"/>
                      <w:szCs w:val="21"/>
                    </w:rPr>
                    <w:t>单位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95" w:type="pct"/>
                  <w:vMerge w:val="continue"/>
                  <w:tcBorders>
                    <w:tl2br w:val="nil"/>
                    <w:tr2bl w:val="nil"/>
                  </w:tcBorders>
                  <w:vAlign w:val="center"/>
                </w:tcPr>
                <w:p>
                  <w:pPr>
                    <w:snapToGrid w:val="0"/>
                    <w:spacing w:line="240" w:lineRule="auto"/>
                    <w:jc w:val="center"/>
                    <w:rPr>
                      <w:sz w:val="21"/>
                      <w:szCs w:val="21"/>
                    </w:rPr>
                  </w:pPr>
                </w:p>
              </w:tc>
              <w:tc>
                <w:tcPr>
                  <w:tcW w:w="816" w:type="pct"/>
                  <w:vMerge w:val="continue"/>
                  <w:tcBorders>
                    <w:tl2br w:val="nil"/>
                    <w:tr2bl w:val="nil"/>
                  </w:tcBorders>
                  <w:vAlign w:val="center"/>
                </w:tcPr>
                <w:p>
                  <w:pPr>
                    <w:snapToGrid w:val="0"/>
                    <w:spacing w:line="240" w:lineRule="auto"/>
                    <w:jc w:val="center"/>
                    <w:rPr>
                      <w:sz w:val="21"/>
                      <w:szCs w:val="21"/>
                    </w:rPr>
                  </w:pPr>
                </w:p>
              </w:tc>
              <w:tc>
                <w:tcPr>
                  <w:tcW w:w="595" w:type="pct"/>
                  <w:tcBorders>
                    <w:tl2br w:val="nil"/>
                    <w:tr2bl w:val="nil"/>
                  </w:tcBorders>
                  <w:vAlign w:val="center"/>
                </w:tcPr>
                <w:p>
                  <w:pPr>
                    <w:pStyle w:val="25"/>
                    <w:rPr>
                      <w:sz w:val="21"/>
                      <w:szCs w:val="21"/>
                    </w:rPr>
                  </w:pPr>
                  <w:r>
                    <w:rPr>
                      <w:rFonts w:hint="eastAsia"/>
                      <w:b/>
                      <w:sz w:val="21"/>
                      <w:szCs w:val="21"/>
                    </w:rPr>
                    <w:t>频次1</w:t>
                  </w:r>
                </w:p>
              </w:tc>
              <w:tc>
                <w:tcPr>
                  <w:tcW w:w="595" w:type="pct"/>
                  <w:tcBorders>
                    <w:tl2br w:val="nil"/>
                    <w:tr2bl w:val="nil"/>
                  </w:tcBorders>
                  <w:vAlign w:val="center"/>
                </w:tcPr>
                <w:p>
                  <w:pPr>
                    <w:pStyle w:val="25"/>
                    <w:rPr>
                      <w:sz w:val="21"/>
                      <w:szCs w:val="21"/>
                    </w:rPr>
                  </w:pPr>
                  <w:r>
                    <w:rPr>
                      <w:rFonts w:hint="eastAsia"/>
                      <w:b/>
                      <w:sz w:val="21"/>
                      <w:szCs w:val="21"/>
                    </w:rPr>
                    <w:t>频次2</w:t>
                  </w:r>
                </w:p>
              </w:tc>
              <w:tc>
                <w:tcPr>
                  <w:tcW w:w="595" w:type="pct"/>
                  <w:tcBorders>
                    <w:tl2br w:val="nil"/>
                    <w:tr2bl w:val="nil"/>
                  </w:tcBorders>
                  <w:vAlign w:val="center"/>
                </w:tcPr>
                <w:p>
                  <w:pPr>
                    <w:snapToGrid w:val="0"/>
                    <w:spacing w:line="240" w:lineRule="auto"/>
                    <w:jc w:val="center"/>
                    <w:rPr>
                      <w:b/>
                      <w:sz w:val="21"/>
                      <w:szCs w:val="21"/>
                    </w:rPr>
                  </w:pPr>
                  <w:r>
                    <w:rPr>
                      <w:rFonts w:hint="eastAsia"/>
                      <w:b/>
                      <w:sz w:val="21"/>
                      <w:szCs w:val="21"/>
                    </w:rPr>
                    <w:t>频次3</w:t>
                  </w:r>
                </w:p>
              </w:tc>
              <w:tc>
                <w:tcPr>
                  <w:tcW w:w="595" w:type="pct"/>
                  <w:tcBorders>
                    <w:tl2br w:val="nil"/>
                    <w:tr2bl w:val="nil"/>
                  </w:tcBorders>
                  <w:vAlign w:val="center"/>
                </w:tcPr>
                <w:p>
                  <w:pPr>
                    <w:snapToGrid w:val="0"/>
                    <w:spacing w:line="240" w:lineRule="auto"/>
                    <w:jc w:val="center"/>
                    <w:rPr>
                      <w:b/>
                      <w:sz w:val="21"/>
                      <w:szCs w:val="21"/>
                    </w:rPr>
                  </w:pPr>
                  <w:r>
                    <w:rPr>
                      <w:rFonts w:hint="eastAsia"/>
                      <w:b/>
                      <w:sz w:val="21"/>
                      <w:szCs w:val="21"/>
                    </w:rPr>
                    <w:t>频次4</w:t>
                  </w:r>
                </w:p>
              </w:tc>
              <w:tc>
                <w:tcPr>
                  <w:tcW w:w="708" w:type="pct"/>
                  <w:vMerge w:val="continue"/>
                  <w:tcBorders>
                    <w:tl2br w:val="nil"/>
                    <w:tr2bl w:val="nil"/>
                  </w:tcBorders>
                  <w:vAlign w:val="center"/>
                </w:tcPr>
                <w:p>
                  <w:pPr>
                    <w:snapToGrid w:val="0"/>
                    <w:spacing w:line="240" w:lineRule="auto"/>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95" w:type="pct"/>
                  <w:tcBorders>
                    <w:tl2br w:val="nil"/>
                    <w:tr2bl w:val="nil"/>
                  </w:tcBorders>
                  <w:vAlign w:val="center"/>
                </w:tcPr>
                <w:p>
                  <w:pPr>
                    <w:snapToGrid w:val="0"/>
                    <w:spacing w:line="240" w:lineRule="auto"/>
                    <w:jc w:val="center"/>
                    <w:rPr>
                      <w:sz w:val="21"/>
                      <w:szCs w:val="21"/>
                    </w:rPr>
                  </w:pPr>
                  <w:r>
                    <w:rPr>
                      <w:rFonts w:hint="eastAsia"/>
                      <w:sz w:val="21"/>
                      <w:szCs w:val="21"/>
                    </w:rPr>
                    <w:t>上风向参照点○1#</w:t>
                  </w:r>
                </w:p>
              </w:tc>
              <w:tc>
                <w:tcPr>
                  <w:tcW w:w="816" w:type="pct"/>
                  <w:tcBorders>
                    <w:tl2br w:val="nil"/>
                    <w:tr2bl w:val="nil"/>
                  </w:tcBorders>
                  <w:vAlign w:val="center"/>
                </w:tcPr>
                <w:p>
                  <w:pPr>
                    <w:snapToGrid w:val="0"/>
                    <w:spacing w:line="240" w:lineRule="auto"/>
                    <w:jc w:val="center"/>
                    <w:rPr>
                      <w:sz w:val="21"/>
                      <w:szCs w:val="21"/>
                    </w:rPr>
                  </w:pPr>
                  <w:r>
                    <w:rPr>
                      <w:sz w:val="21"/>
                      <w:szCs w:val="21"/>
                    </w:rPr>
                    <w:t>VOCs</w:t>
                  </w:r>
                  <w:r>
                    <w:rPr>
                      <w:rFonts w:hint="eastAsia"/>
                      <w:bCs/>
                      <w:sz w:val="21"/>
                      <w:szCs w:val="21"/>
                    </w:rPr>
                    <w:t>（以非甲烷总烃计）</w:t>
                  </w:r>
                </w:p>
              </w:tc>
              <w:tc>
                <w:tcPr>
                  <w:tcW w:w="595" w:type="pct"/>
                  <w:tcBorders>
                    <w:tl2br w:val="nil"/>
                    <w:tr2bl w:val="nil"/>
                  </w:tcBorders>
                  <w:vAlign w:val="center"/>
                </w:tcPr>
                <w:p>
                  <w:pPr>
                    <w:pStyle w:val="25"/>
                    <w:rPr>
                      <w:sz w:val="21"/>
                      <w:szCs w:val="21"/>
                    </w:rPr>
                  </w:pPr>
                  <w:r>
                    <w:rPr>
                      <w:rFonts w:hint="eastAsia"/>
                      <w:sz w:val="21"/>
                      <w:szCs w:val="21"/>
                    </w:rPr>
                    <w:t>0.83</w:t>
                  </w:r>
                </w:p>
              </w:tc>
              <w:tc>
                <w:tcPr>
                  <w:tcW w:w="595" w:type="pct"/>
                  <w:tcBorders>
                    <w:tl2br w:val="nil"/>
                    <w:tr2bl w:val="nil"/>
                  </w:tcBorders>
                  <w:vAlign w:val="center"/>
                </w:tcPr>
                <w:p>
                  <w:pPr>
                    <w:pStyle w:val="25"/>
                    <w:rPr>
                      <w:sz w:val="21"/>
                      <w:szCs w:val="21"/>
                    </w:rPr>
                  </w:pPr>
                  <w:r>
                    <w:rPr>
                      <w:rFonts w:hint="eastAsia"/>
                      <w:sz w:val="21"/>
                      <w:szCs w:val="21"/>
                    </w:rPr>
                    <w:t>0.76</w:t>
                  </w:r>
                </w:p>
              </w:tc>
              <w:tc>
                <w:tcPr>
                  <w:tcW w:w="595" w:type="pct"/>
                  <w:tcBorders>
                    <w:tl2br w:val="nil"/>
                    <w:tr2bl w:val="nil"/>
                  </w:tcBorders>
                  <w:vAlign w:val="center"/>
                </w:tcPr>
                <w:p>
                  <w:pPr>
                    <w:pStyle w:val="25"/>
                    <w:rPr>
                      <w:sz w:val="21"/>
                      <w:szCs w:val="21"/>
                    </w:rPr>
                  </w:pPr>
                  <w:r>
                    <w:rPr>
                      <w:rFonts w:hint="eastAsia"/>
                      <w:sz w:val="21"/>
                      <w:szCs w:val="21"/>
                    </w:rPr>
                    <w:t>0.88</w:t>
                  </w:r>
                </w:p>
              </w:tc>
              <w:tc>
                <w:tcPr>
                  <w:tcW w:w="595" w:type="pct"/>
                  <w:tcBorders>
                    <w:tl2br w:val="nil"/>
                    <w:tr2bl w:val="nil"/>
                  </w:tcBorders>
                  <w:vAlign w:val="center"/>
                </w:tcPr>
                <w:p>
                  <w:pPr>
                    <w:pStyle w:val="25"/>
                    <w:rPr>
                      <w:sz w:val="21"/>
                      <w:szCs w:val="21"/>
                    </w:rPr>
                  </w:pPr>
                  <w:r>
                    <w:rPr>
                      <w:rFonts w:hint="eastAsia"/>
                      <w:sz w:val="21"/>
                      <w:szCs w:val="21"/>
                    </w:rPr>
                    <w:t>0.79</w:t>
                  </w:r>
                </w:p>
              </w:tc>
              <w:tc>
                <w:tcPr>
                  <w:tcW w:w="708" w:type="pct"/>
                  <w:tcBorders>
                    <w:tl2br w:val="nil"/>
                    <w:tr2bl w:val="nil"/>
                  </w:tcBorders>
                  <w:vAlign w:val="center"/>
                </w:tcPr>
                <w:p>
                  <w:pPr>
                    <w:snapToGrid w:val="0"/>
                    <w:spacing w:line="240" w:lineRule="auto"/>
                    <w:jc w:val="center"/>
                    <w:rPr>
                      <w:sz w:val="21"/>
                      <w:szCs w:val="21"/>
                      <w:vertAlign w:val="superscript"/>
                    </w:rPr>
                  </w:pPr>
                  <w:r>
                    <w:rPr>
                      <w:rFonts w:hint="eastAsia"/>
                      <w:sz w:val="21"/>
                      <w:szCs w:val="21"/>
                    </w:rPr>
                    <w:t>mg/m³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95" w:type="pct"/>
                  <w:tcBorders>
                    <w:tl2br w:val="nil"/>
                    <w:tr2bl w:val="nil"/>
                  </w:tcBorders>
                  <w:vAlign w:val="center"/>
                </w:tcPr>
                <w:p>
                  <w:pPr>
                    <w:snapToGrid w:val="0"/>
                    <w:spacing w:line="240" w:lineRule="auto"/>
                    <w:jc w:val="center"/>
                    <w:rPr>
                      <w:sz w:val="21"/>
                      <w:szCs w:val="21"/>
                    </w:rPr>
                  </w:pPr>
                  <w:r>
                    <w:rPr>
                      <w:rFonts w:hint="eastAsia"/>
                      <w:sz w:val="21"/>
                      <w:szCs w:val="21"/>
                    </w:rPr>
                    <w:t>下风向监测点○2#</w:t>
                  </w:r>
                </w:p>
              </w:tc>
              <w:tc>
                <w:tcPr>
                  <w:tcW w:w="816" w:type="pct"/>
                  <w:tcBorders>
                    <w:tl2br w:val="nil"/>
                    <w:tr2bl w:val="nil"/>
                  </w:tcBorders>
                  <w:vAlign w:val="center"/>
                </w:tcPr>
                <w:p>
                  <w:pPr>
                    <w:snapToGrid w:val="0"/>
                    <w:spacing w:line="240" w:lineRule="auto"/>
                    <w:jc w:val="center"/>
                    <w:rPr>
                      <w:sz w:val="21"/>
                      <w:szCs w:val="21"/>
                    </w:rPr>
                  </w:pPr>
                  <w:r>
                    <w:rPr>
                      <w:sz w:val="21"/>
                      <w:szCs w:val="21"/>
                    </w:rPr>
                    <w:t>VOCs</w:t>
                  </w:r>
                  <w:r>
                    <w:rPr>
                      <w:rFonts w:hint="eastAsia"/>
                      <w:bCs/>
                      <w:sz w:val="21"/>
                      <w:szCs w:val="21"/>
                    </w:rPr>
                    <w:t>（以非甲烷总烃计）</w:t>
                  </w:r>
                </w:p>
              </w:tc>
              <w:tc>
                <w:tcPr>
                  <w:tcW w:w="595" w:type="pct"/>
                  <w:tcBorders>
                    <w:tl2br w:val="nil"/>
                    <w:tr2bl w:val="nil"/>
                  </w:tcBorders>
                  <w:vAlign w:val="center"/>
                </w:tcPr>
                <w:p>
                  <w:pPr>
                    <w:pStyle w:val="25"/>
                    <w:rPr>
                      <w:sz w:val="21"/>
                      <w:szCs w:val="21"/>
                    </w:rPr>
                  </w:pPr>
                  <w:r>
                    <w:rPr>
                      <w:rFonts w:hint="eastAsia"/>
                      <w:b/>
                      <w:bCs/>
                      <w:sz w:val="21"/>
                      <w:szCs w:val="21"/>
                    </w:rPr>
                    <w:t>1.10</w:t>
                  </w:r>
                </w:p>
              </w:tc>
              <w:tc>
                <w:tcPr>
                  <w:tcW w:w="595" w:type="pct"/>
                  <w:tcBorders>
                    <w:tl2br w:val="nil"/>
                    <w:tr2bl w:val="nil"/>
                  </w:tcBorders>
                  <w:vAlign w:val="center"/>
                </w:tcPr>
                <w:p>
                  <w:pPr>
                    <w:pStyle w:val="25"/>
                    <w:rPr>
                      <w:sz w:val="21"/>
                      <w:szCs w:val="21"/>
                    </w:rPr>
                  </w:pPr>
                  <w:r>
                    <w:rPr>
                      <w:rFonts w:hint="eastAsia"/>
                      <w:sz w:val="21"/>
                      <w:szCs w:val="21"/>
                    </w:rPr>
                    <w:t>0.97</w:t>
                  </w:r>
                </w:p>
              </w:tc>
              <w:tc>
                <w:tcPr>
                  <w:tcW w:w="595" w:type="pct"/>
                  <w:tcBorders>
                    <w:tl2br w:val="nil"/>
                    <w:tr2bl w:val="nil"/>
                  </w:tcBorders>
                  <w:vAlign w:val="center"/>
                </w:tcPr>
                <w:p>
                  <w:pPr>
                    <w:pStyle w:val="25"/>
                    <w:rPr>
                      <w:sz w:val="21"/>
                      <w:szCs w:val="21"/>
                    </w:rPr>
                  </w:pPr>
                  <w:r>
                    <w:rPr>
                      <w:rFonts w:hint="eastAsia"/>
                      <w:sz w:val="21"/>
                      <w:szCs w:val="21"/>
                    </w:rPr>
                    <w:t>0.90</w:t>
                  </w:r>
                </w:p>
              </w:tc>
              <w:tc>
                <w:tcPr>
                  <w:tcW w:w="595" w:type="pct"/>
                  <w:tcBorders>
                    <w:tl2br w:val="nil"/>
                    <w:tr2bl w:val="nil"/>
                  </w:tcBorders>
                  <w:vAlign w:val="center"/>
                </w:tcPr>
                <w:p>
                  <w:pPr>
                    <w:pStyle w:val="25"/>
                    <w:rPr>
                      <w:sz w:val="21"/>
                      <w:szCs w:val="21"/>
                    </w:rPr>
                  </w:pPr>
                  <w:r>
                    <w:rPr>
                      <w:rFonts w:hint="eastAsia"/>
                      <w:sz w:val="21"/>
                      <w:szCs w:val="21"/>
                    </w:rPr>
                    <w:t>0.88</w:t>
                  </w:r>
                </w:p>
              </w:tc>
              <w:tc>
                <w:tcPr>
                  <w:tcW w:w="708" w:type="pct"/>
                  <w:tcBorders>
                    <w:tl2br w:val="nil"/>
                    <w:tr2bl w:val="nil"/>
                  </w:tcBorders>
                  <w:vAlign w:val="center"/>
                </w:tcPr>
                <w:p>
                  <w:pPr>
                    <w:snapToGrid w:val="0"/>
                    <w:spacing w:line="240" w:lineRule="auto"/>
                    <w:jc w:val="center"/>
                    <w:rPr>
                      <w:sz w:val="21"/>
                      <w:szCs w:val="21"/>
                    </w:rPr>
                  </w:pPr>
                  <w:r>
                    <w:rPr>
                      <w:rFonts w:hint="eastAsia"/>
                      <w:sz w:val="21"/>
                      <w:szCs w:val="21"/>
                    </w:rPr>
                    <w:t>mg/m³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95" w:type="pct"/>
                  <w:tcBorders>
                    <w:tl2br w:val="nil"/>
                    <w:tr2bl w:val="nil"/>
                  </w:tcBorders>
                  <w:vAlign w:val="center"/>
                </w:tcPr>
                <w:p>
                  <w:pPr>
                    <w:snapToGrid w:val="0"/>
                    <w:spacing w:line="240" w:lineRule="auto"/>
                    <w:jc w:val="center"/>
                    <w:rPr>
                      <w:sz w:val="21"/>
                      <w:szCs w:val="21"/>
                    </w:rPr>
                  </w:pPr>
                  <w:r>
                    <w:rPr>
                      <w:rFonts w:hint="eastAsia"/>
                      <w:sz w:val="21"/>
                      <w:szCs w:val="21"/>
                    </w:rPr>
                    <w:t>下风向监测点○3#</w:t>
                  </w:r>
                </w:p>
              </w:tc>
              <w:tc>
                <w:tcPr>
                  <w:tcW w:w="816" w:type="pct"/>
                  <w:tcBorders>
                    <w:tl2br w:val="nil"/>
                    <w:tr2bl w:val="nil"/>
                  </w:tcBorders>
                  <w:vAlign w:val="center"/>
                </w:tcPr>
                <w:p>
                  <w:pPr>
                    <w:snapToGrid w:val="0"/>
                    <w:spacing w:line="240" w:lineRule="auto"/>
                    <w:jc w:val="center"/>
                    <w:rPr>
                      <w:sz w:val="21"/>
                      <w:szCs w:val="21"/>
                    </w:rPr>
                  </w:pPr>
                  <w:r>
                    <w:rPr>
                      <w:sz w:val="21"/>
                      <w:szCs w:val="21"/>
                    </w:rPr>
                    <w:t>VOCs</w:t>
                  </w:r>
                  <w:r>
                    <w:rPr>
                      <w:rFonts w:hint="eastAsia"/>
                      <w:bCs/>
                      <w:sz w:val="21"/>
                      <w:szCs w:val="21"/>
                    </w:rPr>
                    <w:t>（以非甲烷总烃计）</w:t>
                  </w:r>
                </w:p>
              </w:tc>
              <w:tc>
                <w:tcPr>
                  <w:tcW w:w="595" w:type="pct"/>
                  <w:tcBorders>
                    <w:tl2br w:val="nil"/>
                    <w:tr2bl w:val="nil"/>
                  </w:tcBorders>
                  <w:vAlign w:val="center"/>
                </w:tcPr>
                <w:p>
                  <w:pPr>
                    <w:pStyle w:val="25"/>
                    <w:rPr>
                      <w:sz w:val="21"/>
                      <w:szCs w:val="21"/>
                    </w:rPr>
                  </w:pPr>
                  <w:r>
                    <w:rPr>
                      <w:rFonts w:hint="eastAsia"/>
                      <w:sz w:val="21"/>
                      <w:szCs w:val="21"/>
                    </w:rPr>
                    <w:t>1.00</w:t>
                  </w:r>
                </w:p>
              </w:tc>
              <w:tc>
                <w:tcPr>
                  <w:tcW w:w="595" w:type="pct"/>
                  <w:tcBorders>
                    <w:tl2br w:val="nil"/>
                    <w:tr2bl w:val="nil"/>
                  </w:tcBorders>
                  <w:vAlign w:val="center"/>
                </w:tcPr>
                <w:p>
                  <w:pPr>
                    <w:pStyle w:val="25"/>
                    <w:rPr>
                      <w:sz w:val="21"/>
                      <w:szCs w:val="21"/>
                    </w:rPr>
                  </w:pPr>
                  <w:r>
                    <w:rPr>
                      <w:rFonts w:hint="eastAsia"/>
                      <w:sz w:val="21"/>
                      <w:szCs w:val="21"/>
                    </w:rPr>
                    <w:t>0.80</w:t>
                  </w:r>
                </w:p>
              </w:tc>
              <w:tc>
                <w:tcPr>
                  <w:tcW w:w="595" w:type="pct"/>
                  <w:tcBorders>
                    <w:tl2br w:val="nil"/>
                    <w:tr2bl w:val="nil"/>
                  </w:tcBorders>
                  <w:vAlign w:val="center"/>
                </w:tcPr>
                <w:p>
                  <w:pPr>
                    <w:pStyle w:val="25"/>
                    <w:rPr>
                      <w:sz w:val="21"/>
                      <w:szCs w:val="21"/>
                    </w:rPr>
                  </w:pPr>
                  <w:r>
                    <w:rPr>
                      <w:rFonts w:hint="eastAsia"/>
                      <w:sz w:val="21"/>
                      <w:szCs w:val="21"/>
                    </w:rPr>
                    <w:t>0.89</w:t>
                  </w:r>
                </w:p>
              </w:tc>
              <w:tc>
                <w:tcPr>
                  <w:tcW w:w="595" w:type="pct"/>
                  <w:tcBorders>
                    <w:tl2br w:val="nil"/>
                    <w:tr2bl w:val="nil"/>
                  </w:tcBorders>
                  <w:vAlign w:val="center"/>
                </w:tcPr>
                <w:p>
                  <w:pPr>
                    <w:pStyle w:val="25"/>
                    <w:rPr>
                      <w:sz w:val="21"/>
                      <w:szCs w:val="21"/>
                    </w:rPr>
                  </w:pPr>
                  <w:r>
                    <w:rPr>
                      <w:rFonts w:hint="eastAsia"/>
                      <w:sz w:val="21"/>
                      <w:szCs w:val="21"/>
                    </w:rPr>
                    <w:t>1.06</w:t>
                  </w:r>
                </w:p>
              </w:tc>
              <w:tc>
                <w:tcPr>
                  <w:tcW w:w="708" w:type="pct"/>
                  <w:tcBorders>
                    <w:tl2br w:val="nil"/>
                    <w:tr2bl w:val="nil"/>
                  </w:tcBorders>
                  <w:vAlign w:val="center"/>
                </w:tcPr>
                <w:p>
                  <w:pPr>
                    <w:snapToGrid w:val="0"/>
                    <w:spacing w:line="240" w:lineRule="auto"/>
                    <w:jc w:val="center"/>
                    <w:rPr>
                      <w:sz w:val="21"/>
                      <w:szCs w:val="21"/>
                    </w:rPr>
                  </w:pPr>
                  <w:r>
                    <w:rPr>
                      <w:rFonts w:hint="eastAsia"/>
                      <w:sz w:val="21"/>
                      <w:szCs w:val="21"/>
                    </w:rPr>
                    <w:t>mg/m³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95" w:type="pct"/>
                  <w:tcBorders>
                    <w:tl2br w:val="nil"/>
                    <w:tr2bl w:val="nil"/>
                  </w:tcBorders>
                  <w:vAlign w:val="center"/>
                </w:tcPr>
                <w:p>
                  <w:pPr>
                    <w:snapToGrid w:val="0"/>
                    <w:spacing w:line="240" w:lineRule="auto"/>
                    <w:jc w:val="center"/>
                    <w:rPr>
                      <w:sz w:val="21"/>
                      <w:szCs w:val="21"/>
                    </w:rPr>
                  </w:pPr>
                  <w:r>
                    <w:rPr>
                      <w:rFonts w:hint="eastAsia"/>
                      <w:sz w:val="21"/>
                      <w:szCs w:val="21"/>
                    </w:rPr>
                    <w:t>下风向监测点○4#</w:t>
                  </w:r>
                </w:p>
              </w:tc>
              <w:tc>
                <w:tcPr>
                  <w:tcW w:w="816" w:type="pct"/>
                  <w:tcBorders>
                    <w:tl2br w:val="nil"/>
                    <w:tr2bl w:val="nil"/>
                  </w:tcBorders>
                  <w:vAlign w:val="center"/>
                </w:tcPr>
                <w:p>
                  <w:pPr>
                    <w:snapToGrid w:val="0"/>
                    <w:spacing w:line="240" w:lineRule="auto"/>
                    <w:jc w:val="center"/>
                    <w:rPr>
                      <w:sz w:val="21"/>
                      <w:szCs w:val="21"/>
                    </w:rPr>
                  </w:pPr>
                  <w:r>
                    <w:rPr>
                      <w:sz w:val="21"/>
                      <w:szCs w:val="21"/>
                    </w:rPr>
                    <w:t>VOCs</w:t>
                  </w:r>
                  <w:r>
                    <w:rPr>
                      <w:rFonts w:hint="eastAsia"/>
                      <w:bCs/>
                      <w:sz w:val="21"/>
                      <w:szCs w:val="21"/>
                    </w:rPr>
                    <w:t>（以非甲烷总烃计）</w:t>
                  </w:r>
                </w:p>
              </w:tc>
              <w:tc>
                <w:tcPr>
                  <w:tcW w:w="595" w:type="pct"/>
                  <w:tcBorders>
                    <w:tl2br w:val="nil"/>
                    <w:tr2bl w:val="nil"/>
                  </w:tcBorders>
                  <w:vAlign w:val="center"/>
                </w:tcPr>
                <w:p>
                  <w:pPr>
                    <w:pStyle w:val="25"/>
                    <w:rPr>
                      <w:sz w:val="21"/>
                      <w:szCs w:val="21"/>
                    </w:rPr>
                  </w:pPr>
                  <w:r>
                    <w:rPr>
                      <w:rFonts w:hint="eastAsia"/>
                      <w:sz w:val="21"/>
                      <w:szCs w:val="21"/>
                    </w:rPr>
                    <w:t>0.94</w:t>
                  </w:r>
                </w:p>
              </w:tc>
              <w:tc>
                <w:tcPr>
                  <w:tcW w:w="595" w:type="pct"/>
                  <w:tcBorders>
                    <w:tl2br w:val="nil"/>
                    <w:tr2bl w:val="nil"/>
                  </w:tcBorders>
                  <w:vAlign w:val="center"/>
                </w:tcPr>
                <w:p>
                  <w:pPr>
                    <w:pStyle w:val="25"/>
                    <w:rPr>
                      <w:sz w:val="21"/>
                      <w:szCs w:val="21"/>
                    </w:rPr>
                  </w:pPr>
                  <w:r>
                    <w:rPr>
                      <w:rFonts w:hint="eastAsia"/>
                      <w:sz w:val="21"/>
                      <w:szCs w:val="21"/>
                    </w:rPr>
                    <w:t>1.00</w:t>
                  </w:r>
                </w:p>
              </w:tc>
              <w:tc>
                <w:tcPr>
                  <w:tcW w:w="595" w:type="pct"/>
                  <w:tcBorders>
                    <w:tl2br w:val="nil"/>
                    <w:tr2bl w:val="nil"/>
                  </w:tcBorders>
                  <w:vAlign w:val="center"/>
                </w:tcPr>
                <w:p>
                  <w:pPr>
                    <w:pStyle w:val="25"/>
                    <w:rPr>
                      <w:sz w:val="21"/>
                      <w:szCs w:val="21"/>
                    </w:rPr>
                  </w:pPr>
                  <w:r>
                    <w:rPr>
                      <w:rFonts w:hint="eastAsia"/>
                      <w:sz w:val="21"/>
                      <w:szCs w:val="21"/>
                    </w:rPr>
                    <w:t>1.05</w:t>
                  </w:r>
                </w:p>
              </w:tc>
              <w:tc>
                <w:tcPr>
                  <w:tcW w:w="595" w:type="pct"/>
                  <w:tcBorders>
                    <w:tl2br w:val="nil"/>
                    <w:tr2bl w:val="nil"/>
                  </w:tcBorders>
                  <w:vAlign w:val="center"/>
                </w:tcPr>
                <w:p>
                  <w:pPr>
                    <w:pStyle w:val="25"/>
                    <w:rPr>
                      <w:sz w:val="21"/>
                      <w:szCs w:val="21"/>
                    </w:rPr>
                  </w:pPr>
                  <w:r>
                    <w:rPr>
                      <w:rFonts w:hint="eastAsia"/>
                      <w:sz w:val="21"/>
                      <w:szCs w:val="21"/>
                    </w:rPr>
                    <w:t>0.96</w:t>
                  </w:r>
                </w:p>
              </w:tc>
              <w:tc>
                <w:tcPr>
                  <w:tcW w:w="708" w:type="pct"/>
                  <w:tcBorders>
                    <w:tl2br w:val="nil"/>
                    <w:tr2bl w:val="nil"/>
                  </w:tcBorders>
                  <w:vAlign w:val="center"/>
                </w:tcPr>
                <w:p>
                  <w:pPr>
                    <w:snapToGrid w:val="0"/>
                    <w:spacing w:line="240" w:lineRule="auto"/>
                    <w:jc w:val="center"/>
                    <w:rPr>
                      <w:sz w:val="21"/>
                      <w:szCs w:val="21"/>
                    </w:rPr>
                  </w:pPr>
                  <w:r>
                    <w:rPr>
                      <w:rFonts w:hint="eastAsia"/>
                      <w:sz w:val="21"/>
                      <w:szCs w:val="21"/>
                    </w:rPr>
                    <w:t>mg/m³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95" w:type="pct"/>
                  <w:tcBorders>
                    <w:tl2br w:val="nil"/>
                    <w:tr2bl w:val="nil"/>
                  </w:tcBorders>
                  <w:vAlign w:val="center"/>
                </w:tcPr>
                <w:p>
                  <w:pPr>
                    <w:snapToGrid w:val="0"/>
                    <w:spacing w:line="240" w:lineRule="auto"/>
                    <w:jc w:val="center"/>
                    <w:rPr>
                      <w:sz w:val="21"/>
                      <w:szCs w:val="21"/>
                    </w:rPr>
                  </w:pPr>
                  <w:r>
                    <w:rPr>
                      <w:rFonts w:hint="eastAsia"/>
                      <w:sz w:val="21"/>
                      <w:szCs w:val="21"/>
                    </w:rPr>
                    <w:t>备注</w:t>
                  </w:r>
                </w:p>
              </w:tc>
              <w:tc>
                <w:tcPr>
                  <w:tcW w:w="3904" w:type="pct"/>
                  <w:gridSpan w:val="6"/>
                  <w:tcBorders>
                    <w:tl2br w:val="nil"/>
                    <w:tr2bl w:val="nil"/>
                  </w:tcBorders>
                  <w:vAlign w:val="center"/>
                </w:tcPr>
                <w:p>
                  <w:pPr>
                    <w:snapToGrid w:val="0"/>
                    <w:spacing w:line="240" w:lineRule="auto"/>
                    <w:rPr>
                      <w:sz w:val="21"/>
                      <w:szCs w:val="21"/>
                    </w:rPr>
                  </w:pPr>
                  <w:r>
                    <w:rPr>
                      <w:sz w:val="21"/>
                      <w:szCs w:val="21"/>
                    </w:rPr>
                    <w:t>VOCs</w:t>
                  </w:r>
                  <w:r>
                    <w:rPr>
                      <w:rFonts w:hint="eastAsia"/>
                      <w:bCs/>
                      <w:sz w:val="21"/>
                      <w:szCs w:val="21"/>
                    </w:rPr>
                    <w:t>（以非甲烷总烃计）</w:t>
                  </w:r>
                  <w:r>
                    <w:rPr>
                      <w:rFonts w:hint="eastAsia"/>
                      <w:sz w:val="21"/>
                      <w:szCs w:val="21"/>
                    </w:rPr>
                    <w:t>样品编号：QW2310A022-QW2310A037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095" w:type="pct"/>
                  <w:vMerge w:val="restart"/>
                  <w:tcBorders>
                    <w:tl2br w:val="nil"/>
                    <w:tr2bl w:val="nil"/>
                  </w:tcBorders>
                  <w:vAlign w:val="center"/>
                </w:tcPr>
                <w:p>
                  <w:pPr>
                    <w:snapToGrid w:val="0"/>
                    <w:spacing w:line="240" w:lineRule="auto"/>
                    <w:jc w:val="center"/>
                    <w:rPr>
                      <w:b/>
                      <w:sz w:val="21"/>
                      <w:szCs w:val="21"/>
                    </w:rPr>
                  </w:pPr>
                  <w:r>
                    <w:rPr>
                      <w:rFonts w:hint="eastAsia"/>
                      <w:b/>
                      <w:sz w:val="21"/>
                      <w:szCs w:val="21"/>
                    </w:rPr>
                    <w:t>采样点位</w:t>
                  </w:r>
                </w:p>
              </w:tc>
              <w:tc>
                <w:tcPr>
                  <w:tcW w:w="816" w:type="pct"/>
                  <w:vMerge w:val="restart"/>
                  <w:tcBorders>
                    <w:tl2br w:val="nil"/>
                    <w:tr2bl w:val="nil"/>
                  </w:tcBorders>
                  <w:vAlign w:val="center"/>
                </w:tcPr>
                <w:p>
                  <w:pPr>
                    <w:snapToGrid w:val="0"/>
                    <w:spacing w:line="240" w:lineRule="auto"/>
                    <w:jc w:val="center"/>
                    <w:rPr>
                      <w:b/>
                      <w:sz w:val="21"/>
                      <w:szCs w:val="21"/>
                    </w:rPr>
                  </w:pPr>
                  <w:r>
                    <w:rPr>
                      <w:rFonts w:hint="eastAsia"/>
                      <w:b/>
                      <w:sz w:val="21"/>
                      <w:szCs w:val="21"/>
                    </w:rPr>
                    <w:t>监测项目</w:t>
                  </w:r>
                </w:p>
              </w:tc>
              <w:tc>
                <w:tcPr>
                  <w:tcW w:w="2380" w:type="pct"/>
                  <w:gridSpan w:val="4"/>
                  <w:tcBorders>
                    <w:tl2br w:val="nil"/>
                    <w:tr2bl w:val="nil"/>
                  </w:tcBorders>
                  <w:vAlign w:val="center"/>
                </w:tcPr>
                <w:p>
                  <w:pPr>
                    <w:snapToGrid w:val="0"/>
                    <w:spacing w:line="240" w:lineRule="auto"/>
                    <w:jc w:val="center"/>
                    <w:rPr>
                      <w:b/>
                      <w:sz w:val="21"/>
                      <w:szCs w:val="21"/>
                    </w:rPr>
                  </w:pPr>
                  <w:r>
                    <w:rPr>
                      <w:rFonts w:hint="eastAsia"/>
                      <w:b/>
                      <w:sz w:val="21"/>
                      <w:szCs w:val="21"/>
                    </w:rPr>
                    <w:t>2023年10月12日采样监测结果</w:t>
                  </w:r>
                </w:p>
              </w:tc>
              <w:tc>
                <w:tcPr>
                  <w:tcW w:w="708" w:type="pct"/>
                  <w:vMerge w:val="restart"/>
                  <w:tcBorders>
                    <w:tl2br w:val="nil"/>
                    <w:tr2bl w:val="nil"/>
                  </w:tcBorders>
                  <w:vAlign w:val="center"/>
                </w:tcPr>
                <w:p>
                  <w:pPr>
                    <w:snapToGrid w:val="0"/>
                    <w:spacing w:line="240" w:lineRule="auto"/>
                    <w:jc w:val="center"/>
                    <w:rPr>
                      <w:b/>
                      <w:sz w:val="21"/>
                      <w:szCs w:val="21"/>
                    </w:rPr>
                  </w:pPr>
                  <w:r>
                    <w:rPr>
                      <w:rFonts w:hint="eastAsia"/>
                      <w:b/>
                      <w:sz w:val="21"/>
                      <w:szCs w:val="21"/>
                    </w:rPr>
                    <w:t>单位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095" w:type="pct"/>
                  <w:vMerge w:val="continue"/>
                  <w:tcBorders>
                    <w:tl2br w:val="nil"/>
                    <w:tr2bl w:val="nil"/>
                  </w:tcBorders>
                  <w:vAlign w:val="center"/>
                </w:tcPr>
                <w:p>
                  <w:pPr>
                    <w:snapToGrid w:val="0"/>
                    <w:spacing w:line="240" w:lineRule="auto"/>
                    <w:jc w:val="center"/>
                    <w:rPr>
                      <w:sz w:val="21"/>
                      <w:szCs w:val="21"/>
                    </w:rPr>
                  </w:pPr>
                </w:p>
              </w:tc>
              <w:tc>
                <w:tcPr>
                  <w:tcW w:w="816" w:type="pct"/>
                  <w:vMerge w:val="continue"/>
                  <w:tcBorders>
                    <w:tl2br w:val="nil"/>
                    <w:tr2bl w:val="nil"/>
                  </w:tcBorders>
                  <w:vAlign w:val="center"/>
                </w:tcPr>
                <w:p>
                  <w:pPr>
                    <w:snapToGrid w:val="0"/>
                    <w:spacing w:line="240" w:lineRule="auto"/>
                    <w:jc w:val="center"/>
                    <w:rPr>
                      <w:sz w:val="21"/>
                      <w:szCs w:val="21"/>
                    </w:rPr>
                  </w:pPr>
                </w:p>
              </w:tc>
              <w:tc>
                <w:tcPr>
                  <w:tcW w:w="595" w:type="pct"/>
                  <w:tcBorders>
                    <w:tl2br w:val="nil"/>
                    <w:tr2bl w:val="nil"/>
                  </w:tcBorders>
                  <w:vAlign w:val="center"/>
                </w:tcPr>
                <w:p>
                  <w:pPr>
                    <w:snapToGrid w:val="0"/>
                    <w:spacing w:line="240" w:lineRule="auto"/>
                    <w:jc w:val="center"/>
                    <w:rPr>
                      <w:b/>
                      <w:sz w:val="21"/>
                      <w:szCs w:val="21"/>
                    </w:rPr>
                  </w:pPr>
                  <w:r>
                    <w:rPr>
                      <w:rFonts w:hint="eastAsia"/>
                      <w:b/>
                      <w:sz w:val="21"/>
                      <w:szCs w:val="21"/>
                    </w:rPr>
                    <w:t>频次1</w:t>
                  </w:r>
                </w:p>
              </w:tc>
              <w:tc>
                <w:tcPr>
                  <w:tcW w:w="595" w:type="pct"/>
                  <w:tcBorders>
                    <w:tl2br w:val="nil"/>
                    <w:tr2bl w:val="nil"/>
                  </w:tcBorders>
                  <w:vAlign w:val="center"/>
                </w:tcPr>
                <w:p>
                  <w:pPr>
                    <w:snapToGrid w:val="0"/>
                    <w:spacing w:line="240" w:lineRule="auto"/>
                    <w:jc w:val="center"/>
                    <w:rPr>
                      <w:b/>
                      <w:sz w:val="21"/>
                      <w:szCs w:val="21"/>
                    </w:rPr>
                  </w:pPr>
                  <w:r>
                    <w:rPr>
                      <w:rFonts w:hint="eastAsia"/>
                      <w:b/>
                      <w:sz w:val="21"/>
                      <w:szCs w:val="21"/>
                    </w:rPr>
                    <w:t>频次2</w:t>
                  </w:r>
                </w:p>
              </w:tc>
              <w:tc>
                <w:tcPr>
                  <w:tcW w:w="595" w:type="pct"/>
                  <w:tcBorders>
                    <w:tl2br w:val="nil"/>
                    <w:tr2bl w:val="nil"/>
                  </w:tcBorders>
                  <w:vAlign w:val="center"/>
                </w:tcPr>
                <w:p>
                  <w:pPr>
                    <w:snapToGrid w:val="0"/>
                    <w:spacing w:line="240" w:lineRule="auto"/>
                    <w:jc w:val="center"/>
                    <w:rPr>
                      <w:b/>
                      <w:sz w:val="21"/>
                      <w:szCs w:val="21"/>
                    </w:rPr>
                  </w:pPr>
                  <w:r>
                    <w:rPr>
                      <w:rFonts w:hint="eastAsia"/>
                      <w:b/>
                      <w:sz w:val="21"/>
                      <w:szCs w:val="21"/>
                    </w:rPr>
                    <w:t>频次3</w:t>
                  </w:r>
                </w:p>
              </w:tc>
              <w:tc>
                <w:tcPr>
                  <w:tcW w:w="595" w:type="pct"/>
                  <w:tcBorders>
                    <w:tl2br w:val="nil"/>
                    <w:tr2bl w:val="nil"/>
                  </w:tcBorders>
                  <w:vAlign w:val="center"/>
                </w:tcPr>
                <w:p>
                  <w:pPr>
                    <w:snapToGrid w:val="0"/>
                    <w:spacing w:line="240" w:lineRule="auto"/>
                    <w:jc w:val="center"/>
                    <w:rPr>
                      <w:b/>
                      <w:sz w:val="21"/>
                      <w:szCs w:val="21"/>
                    </w:rPr>
                  </w:pPr>
                  <w:r>
                    <w:rPr>
                      <w:rFonts w:hint="eastAsia"/>
                      <w:b/>
                      <w:sz w:val="21"/>
                      <w:szCs w:val="21"/>
                    </w:rPr>
                    <w:t>频次4</w:t>
                  </w:r>
                </w:p>
              </w:tc>
              <w:tc>
                <w:tcPr>
                  <w:tcW w:w="708" w:type="pct"/>
                  <w:vMerge w:val="continue"/>
                  <w:tcBorders>
                    <w:tl2br w:val="nil"/>
                    <w:tr2bl w:val="nil"/>
                  </w:tcBorders>
                  <w:vAlign w:val="center"/>
                </w:tcPr>
                <w:p>
                  <w:pPr>
                    <w:widowControl/>
                    <w:adjustRightInd/>
                    <w:spacing w:line="240" w:lineRule="auto"/>
                    <w:jc w:val="center"/>
                    <w:textAlignment w:val="auto"/>
                    <w:rPr>
                      <w:b/>
                      <w:bCs/>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095" w:type="pct"/>
                  <w:tcBorders>
                    <w:tl2br w:val="nil"/>
                    <w:tr2bl w:val="nil"/>
                  </w:tcBorders>
                  <w:vAlign w:val="center"/>
                </w:tcPr>
                <w:p>
                  <w:pPr>
                    <w:snapToGrid w:val="0"/>
                    <w:spacing w:line="240" w:lineRule="auto"/>
                    <w:jc w:val="center"/>
                    <w:rPr>
                      <w:sz w:val="21"/>
                      <w:szCs w:val="21"/>
                    </w:rPr>
                  </w:pPr>
                  <w:r>
                    <w:rPr>
                      <w:rFonts w:hint="eastAsia"/>
                      <w:sz w:val="21"/>
                      <w:szCs w:val="21"/>
                    </w:rPr>
                    <w:t>场内监测点○5#</w:t>
                  </w:r>
                </w:p>
              </w:tc>
              <w:tc>
                <w:tcPr>
                  <w:tcW w:w="816" w:type="pct"/>
                  <w:tcBorders>
                    <w:tl2br w:val="nil"/>
                    <w:tr2bl w:val="nil"/>
                  </w:tcBorders>
                  <w:vAlign w:val="center"/>
                </w:tcPr>
                <w:p>
                  <w:pPr>
                    <w:snapToGrid w:val="0"/>
                    <w:spacing w:line="240" w:lineRule="auto"/>
                    <w:jc w:val="center"/>
                    <w:rPr>
                      <w:sz w:val="21"/>
                      <w:szCs w:val="21"/>
                    </w:rPr>
                  </w:pPr>
                  <w:r>
                    <w:rPr>
                      <w:sz w:val="21"/>
                      <w:szCs w:val="21"/>
                    </w:rPr>
                    <w:t>VOCs</w:t>
                  </w:r>
                  <w:r>
                    <w:rPr>
                      <w:rFonts w:hint="eastAsia"/>
                      <w:bCs/>
                      <w:sz w:val="21"/>
                      <w:szCs w:val="21"/>
                    </w:rPr>
                    <w:t>（以非甲烷总烃计）</w:t>
                  </w:r>
                </w:p>
              </w:tc>
              <w:tc>
                <w:tcPr>
                  <w:tcW w:w="595" w:type="pct"/>
                  <w:tcBorders>
                    <w:tl2br w:val="nil"/>
                    <w:tr2bl w:val="nil"/>
                  </w:tcBorders>
                  <w:vAlign w:val="center"/>
                </w:tcPr>
                <w:p>
                  <w:pPr>
                    <w:pStyle w:val="25"/>
                    <w:rPr>
                      <w:sz w:val="21"/>
                      <w:szCs w:val="21"/>
                    </w:rPr>
                  </w:pPr>
                  <w:r>
                    <w:rPr>
                      <w:rFonts w:hint="eastAsia"/>
                      <w:sz w:val="21"/>
                      <w:szCs w:val="21"/>
                    </w:rPr>
                    <w:t>3.73</w:t>
                  </w:r>
                </w:p>
              </w:tc>
              <w:tc>
                <w:tcPr>
                  <w:tcW w:w="595" w:type="pct"/>
                  <w:tcBorders>
                    <w:tl2br w:val="nil"/>
                    <w:tr2bl w:val="nil"/>
                  </w:tcBorders>
                  <w:vAlign w:val="center"/>
                </w:tcPr>
                <w:p>
                  <w:pPr>
                    <w:pStyle w:val="25"/>
                    <w:rPr>
                      <w:sz w:val="21"/>
                      <w:szCs w:val="21"/>
                    </w:rPr>
                  </w:pPr>
                  <w:r>
                    <w:rPr>
                      <w:rFonts w:hint="eastAsia"/>
                      <w:b/>
                      <w:bCs/>
                      <w:sz w:val="21"/>
                      <w:szCs w:val="21"/>
                    </w:rPr>
                    <w:t>4.62</w:t>
                  </w:r>
                </w:p>
              </w:tc>
              <w:tc>
                <w:tcPr>
                  <w:tcW w:w="595" w:type="pct"/>
                  <w:tcBorders>
                    <w:tl2br w:val="nil"/>
                    <w:tr2bl w:val="nil"/>
                  </w:tcBorders>
                  <w:vAlign w:val="center"/>
                </w:tcPr>
                <w:p>
                  <w:pPr>
                    <w:pStyle w:val="25"/>
                    <w:rPr>
                      <w:sz w:val="21"/>
                      <w:szCs w:val="21"/>
                    </w:rPr>
                  </w:pPr>
                  <w:r>
                    <w:rPr>
                      <w:rFonts w:hint="eastAsia"/>
                      <w:sz w:val="21"/>
                      <w:szCs w:val="21"/>
                    </w:rPr>
                    <w:t>3.02</w:t>
                  </w:r>
                </w:p>
              </w:tc>
              <w:tc>
                <w:tcPr>
                  <w:tcW w:w="595" w:type="pct"/>
                  <w:tcBorders>
                    <w:tl2br w:val="nil"/>
                    <w:tr2bl w:val="nil"/>
                  </w:tcBorders>
                  <w:vAlign w:val="center"/>
                </w:tcPr>
                <w:p>
                  <w:pPr>
                    <w:pStyle w:val="25"/>
                    <w:rPr>
                      <w:sz w:val="21"/>
                      <w:szCs w:val="21"/>
                    </w:rPr>
                  </w:pPr>
                  <w:r>
                    <w:rPr>
                      <w:rFonts w:hint="eastAsia"/>
                      <w:sz w:val="21"/>
                      <w:szCs w:val="21"/>
                    </w:rPr>
                    <w:t>3.38</w:t>
                  </w:r>
                </w:p>
              </w:tc>
              <w:tc>
                <w:tcPr>
                  <w:tcW w:w="708" w:type="pct"/>
                  <w:tcBorders>
                    <w:tl2br w:val="nil"/>
                    <w:tr2bl w:val="nil"/>
                  </w:tcBorders>
                  <w:vAlign w:val="center"/>
                </w:tcPr>
                <w:p>
                  <w:pPr>
                    <w:snapToGrid w:val="0"/>
                    <w:spacing w:line="240" w:lineRule="auto"/>
                    <w:jc w:val="center"/>
                    <w:rPr>
                      <w:sz w:val="21"/>
                      <w:szCs w:val="21"/>
                      <w:vertAlign w:val="superscript"/>
                    </w:rPr>
                  </w:pPr>
                  <w:r>
                    <w:rPr>
                      <w:rFonts w:hint="eastAsia"/>
                      <w:sz w:val="21"/>
                      <w:szCs w:val="21"/>
                    </w:rPr>
                    <w:t>mg/m³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95" w:type="pct"/>
                  <w:tcBorders>
                    <w:tl2br w:val="nil"/>
                    <w:tr2bl w:val="nil"/>
                  </w:tcBorders>
                  <w:vAlign w:val="center"/>
                </w:tcPr>
                <w:p>
                  <w:pPr>
                    <w:snapToGrid w:val="0"/>
                    <w:spacing w:line="240" w:lineRule="auto"/>
                    <w:jc w:val="center"/>
                    <w:rPr>
                      <w:sz w:val="21"/>
                      <w:szCs w:val="21"/>
                    </w:rPr>
                  </w:pPr>
                  <w:r>
                    <w:rPr>
                      <w:rFonts w:hint="eastAsia"/>
                      <w:sz w:val="21"/>
                      <w:szCs w:val="21"/>
                    </w:rPr>
                    <w:t>备注</w:t>
                  </w:r>
                </w:p>
              </w:tc>
              <w:tc>
                <w:tcPr>
                  <w:tcW w:w="3904" w:type="pct"/>
                  <w:gridSpan w:val="6"/>
                  <w:tcBorders>
                    <w:tl2br w:val="nil"/>
                    <w:tr2bl w:val="nil"/>
                  </w:tcBorders>
                  <w:vAlign w:val="center"/>
                </w:tcPr>
                <w:p>
                  <w:pPr>
                    <w:snapToGrid w:val="0"/>
                    <w:spacing w:line="240" w:lineRule="auto"/>
                    <w:rPr>
                      <w:sz w:val="21"/>
                      <w:szCs w:val="21"/>
                    </w:rPr>
                  </w:pPr>
                  <w:r>
                    <w:rPr>
                      <w:sz w:val="21"/>
                      <w:szCs w:val="21"/>
                    </w:rPr>
                    <w:t>VOCs</w:t>
                  </w:r>
                  <w:r>
                    <w:rPr>
                      <w:rFonts w:hint="eastAsia"/>
                      <w:bCs/>
                      <w:sz w:val="21"/>
                      <w:szCs w:val="21"/>
                    </w:rPr>
                    <w:t>（以非甲烷总烃计）</w:t>
                  </w:r>
                  <w:r>
                    <w:rPr>
                      <w:rFonts w:hint="eastAsia"/>
                      <w:sz w:val="21"/>
                      <w:szCs w:val="21"/>
                    </w:rPr>
                    <w:t>样品编号：QW2310A039-QW2310A042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95" w:type="pct"/>
                  <w:vMerge w:val="restart"/>
                  <w:tcBorders>
                    <w:tl2br w:val="nil"/>
                    <w:tr2bl w:val="nil"/>
                  </w:tcBorders>
                  <w:vAlign w:val="center"/>
                </w:tcPr>
                <w:p>
                  <w:pPr>
                    <w:snapToGrid w:val="0"/>
                    <w:spacing w:line="240" w:lineRule="auto"/>
                    <w:jc w:val="center"/>
                    <w:rPr>
                      <w:b/>
                      <w:sz w:val="21"/>
                      <w:szCs w:val="21"/>
                    </w:rPr>
                  </w:pPr>
                  <w:r>
                    <w:rPr>
                      <w:rFonts w:hint="eastAsia"/>
                      <w:b/>
                      <w:sz w:val="21"/>
                      <w:szCs w:val="21"/>
                    </w:rPr>
                    <w:t>采样点位</w:t>
                  </w:r>
                </w:p>
              </w:tc>
              <w:tc>
                <w:tcPr>
                  <w:tcW w:w="816" w:type="pct"/>
                  <w:vMerge w:val="restart"/>
                  <w:tcBorders>
                    <w:tl2br w:val="nil"/>
                    <w:tr2bl w:val="nil"/>
                  </w:tcBorders>
                  <w:vAlign w:val="center"/>
                </w:tcPr>
                <w:p>
                  <w:pPr>
                    <w:snapToGrid w:val="0"/>
                    <w:spacing w:line="240" w:lineRule="auto"/>
                    <w:jc w:val="center"/>
                    <w:rPr>
                      <w:b/>
                      <w:sz w:val="21"/>
                      <w:szCs w:val="21"/>
                    </w:rPr>
                  </w:pPr>
                  <w:r>
                    <w:rPr>
                      <w:rFonts w:hint="eastAsia"/>
                      <w:b/>
                      <w:sz w:val="21"/>
                      <w:szCs w:val="21"/>
                    </w:rPr>
                    <w:t>监测项目</w:t>
                  </w:r>
                </w:p>
              </w:tc>
              <w:tc>
                <w:tcPr>
                  <w:tcW w:w="2380" w:type="pct"/>
                  <w:gridSpan w:val="4"/>
                  <w:tcBorders>
                    <w:tl2br w:val="nil"/>
                    <w:tr2bl w:val="nil"/>
                  </w:tcBorders>
                  <w:vAlign w:val="center"/>
                </w:tcPr>
                <w:p>
                  <w:pPr>
                    <w:snapToGrid w:val="0"/>
                    <w:spacing w:line="240" w:lineRule="auto"/>
                    <w:jc w:val="center"/>
                    <w:rPr>
                      <w:b/>
                      <w:sz w:val="21"/>
                      <w:szCs w:val="21"/>
                    </w:rPr>
                  </w:pPr>
                  <w:r>
                    <w:rPr>
                      <w:rFonts w:hint="eastAsia"/>
                      <w:b/>
                      <w:sz w:val="21"/>
                      <w:szCs w:val="21"/>
                    </w:rPr>
                    <w:t>2023年10月13日采样监测结果</w:t>
                  </w:r>
                </w:p>
              </w:tc>
              <w:tc>
                <w:tcPr>
                  <w:tcW w:w="708" w:type="pct"/>
                  <w:vMerge w:val="restart"/>
                  <w:tcBorders>
                    <w:tl2br w:val="nil"/>
                    <w:tr2bl w:val="nil"/>
                  </w:tcBorders>
                  <w:vAlign w:val="center"/>
                </w:tcPr>
                <w:p>
                  <w:pPr>
                    <w:snapToGrid w:val="0"/>
                    <w:spacing w:line="240" w:lineRule="auto"/>
                    <w:jc w:val="center"/>
                    <w:rPr>
                      <w:sz w:val="21"/>
                      <w:szCs w:val="21"/>
                    </w:rPr>
                  </w:pPr>
                  <w:r>
                    <w:rPr>
                      <w:rFonts w:hint="eastAsia"/>
                      <w:b/>
                      <w:sz w:val="21"/>
                      <w:szCs w:val="21"/>
                    </w:rPr>
                    <w:t>单位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95" w:type="pct"/>
                  <w:vMerge w:val="continue"/>
                  <w:tcBorders>
                    <w:tl2br w:val="nil"/>
                    <w:tr2bl w:val="nil"/>
                  </w:tcBorders>
                  <w:vAlign w:val="center"/>
                </w:tcPr>
                <w:p>
                  <w:pPr>
                    <w:snapToGrid w:val="0"/>
                    <w:spacing w:line="240" w:lineRule="auto"/>
                    <w:jc w:val="center"/>
                    <w:rPr>
                      <w:sz w:val="21"/>
                      <w:szCs w:val="21"/>
                    </w:rPr>
                  </w:pPr>
                </w:p>
              </w:tc>
              <w:tc>
                <w:tcPr>
                  <w:tcW w:w="816" w:type="pct"/>
                  <w:vMerge w:val="continue"/>
                  <w:tcBorders>
                    <w:tl2br w:val="nil"/>
                    <w:tr2bl w:val="nil"/>
                  </w:tcBorders>
                  <w:vAlign w:val="center"/>
                </w:tcPr>
                <w:p>
                  <w:pPr>
                    <w:snapToGrid w:val="0"/>
                    <w:spacing w:line="240" w:lineRule="auto"/>
                    <w:jc w:val="center"/>
                    <w:rPr>
                      <w:sz w:val="21"/>
                      <w:szCs w:val="21"/>
                    </w:rPr>
                  </w:pPr>
                </w:p>
              </w:tc>
              <w:tc>
                <w:tcPr>
                  <w:tcW w:w="595" w:type="pct"/>
                  <w:tcBorders>
                    <w:tl2br w:val="nil"/>
                    <w:tr2bl w:val="nil"/>
                  </w:tcBorders>
                  <w:vAlign w:val="center"/>
                </w:tcPr>
                <w:p>
                  <w:pPr>
                    <w:pStyle w:val="25"/>
                    <w:rPr>
                      <w:sz w:val="21"/>
                      <w:szCs w:val="21"/>
                    </w:rPr>
                  </w:pPr>
                  <w:r>
                    <w:rPr>
                      <w:rFonts w:hint="eastAsia"/>
                      <w:b/>
                      <w:sz w:val="21"/>
                      <w:szCs w:val="21"/>
                    </w:rPr>
                    <w:t>频次1</w:t>
                  </w:r>
                </w:p>
              </w:tc>
              <w:tc>
                <w:tcPr>
                  <w:tcW w:w="595" w:type="pct"/>
                  <w:tcBorders>
                    <w:tl2br w:val="nil"/>
                    <w:tr2bl w:val="nil"/>
                  </w:tcBorders>
                  <w:vAlign w:val="center"/>
                </w:tcPr>
                <w:p>
                  <w:pPr>
                    <w:pStyle w:val="25"/>
                    <w:rPr>
                      <w:sz w:val="21"/>
                      <w:szCs w:val="21"/>
                    </w:rPr>
                  </w:pPr>
                  <w:r>
                    <w:rPr>
                      <w:rFonts w:hint="eastAsia"/>
                      <w:b/>
                      <w:sz w:val="21"/>
                      <w:szCs w:val="21"/>
                    </w:rPr>
                    <w:t>频次2</w:t>
                  </w:r>
                </w:p>
              </w:tc>
              <w:tc>
                <w:tcPr>
                  <w:tcW w:w="595" w:type="pct"/>
                  <w:tcBorders>
                    <w:tl2br w:val="nil"/>
                    <w:tr2bl w:val="nil"/>
                  </w:tcBorders>
                  <w:vAlign w:val="center"/>
                </w:tcPr>
                <w:p>
                  <w:pPr>
                    <w:snapToGrid w:val="0"/>
                    <w:spacing w:line="240" w:lineRule="auto"/>
                    <w:jc w:val="center"/>
                    <w:rPr>
                      <w:b/>
                      <w:sz w:val="21"/>
                      <w:szCs w:val="21"/>
                    </w:rPr>
                  </w:pPr>
                  <w:r>
                    <w:rPr>
                      <w:rFonts w:hint="eastAsia"/>
                      <w:b/>
                      <w:sz w:val="21"/>
                      <w:szCs w:val="21"/>
                    </w:rPr>
                    <w:t>频次3</w:t>
                  </w:r>
                </w:p>
              </w:tc>
              <w:tc>
                <w:tcPr>
                  <w:tcW w:w="595" w:type="pct"/>
                  <w:tcBorders>
                    <w:tl2br w:val="nil"/>
                    <w:tr2bl w:val="nil"/>
                  </w:tcBorders>
                  <w:vAlign w:val="center"/>
                </w:tcPr>
                <w:p>
                  <w:pPr>
                    <w:snapToGrid w:val="0"/>
                    <w:spacing w:line="240" w:lineRule="auto"/>
                    <w:jc w:val="center"/>
                    <w:rPr>
                      <w:b/>
                      <w:sz w:val="21"/>
                      <w:szCs w:val="21"/>
                    </w:rPr>
                  </w:pPr>
                  <w:r>
                    <w:rPr>
                      <w:rFonts w:hint="eastAsia"/>
                      <w:b/>
                      <w:sz w:val="21"/>
                      <w:szCs w:val="21"/>
                    </w:rPr>
                    <w:t>频次4</w:t>
                  </w:r>
                </w:p>
              </w:tc>
              <w:tc>
                <w:tcPr>
                  <w:tcW w:w="708" w:type="pct"/>
                  <w:vMerge w:val="continue"/>
                  <w:tcBorders>
                    <w:tl2br w:val="nil"/>
                    <w:tr2bl w:val="nil"/>
                  </w:tcBorders>
                  <w:vAlign w:val="center"/>
                </w:tcPr>
                <w:p>
                  <w:pPr>
                    <w:snapToGrid w:val="0"/>
                    <w:spacing w:line="240" w:lineRule="auto"/>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95" w:type="pct"/>
                  <w:tcBorders>
                    <w:tl2br w:val="nil"/>
                    <w:tr2bl w:val="nil"/>
                  </w:tcBorders>
                  <w:vAlign w:val="center"/>
                </w:tcPr>
                <w:p>
                  <w:pPr>
                    <w:snapToGrid w:val="0"/>
                    <w:spacing w:line="240" w:lineRule="auto"/>
                    <w:jc w:val="center"/>
                    <w:rPr>
                      <w:sz w:val="21"/>
                      <w:szCs w:val="21"/>
                    </w:rPr>
                  </w:pPr>
                  <w:r>
                    <w:rPr>
                      <w:rFonts w:hint="eastAsia"/>
                      <w:sz w:val="21"/>
                      <w:szCs w:val="21"/>
                    </w:rPr>
                    <w:t>上风向参照点○1#</w:t>
                  </w:r>
                </w:p>
              </w:tc>
              <w:tc>
                <w:tcPr>
                  <w:tcW w:w="816" w:type="pct"/>
                  <w:tcBorders>
                    <w:tl2br w:val="nil"/>
                    <w:tr2bl w:val="nil"/>
                  </w:tcBorders>
                  <w:vAlign w:val="center"/>
                </w:tcPr>
                <w:p>
                  <w:pPr>
                    <w:snapToGrid w:val="0"/>
                    <w:spacing w:line="240" w:lineRule="auto"/>
                    <w:jc w:val="center"/>
                    <w:rPr>
                      <w:sz w:val="21"/>
                      <w:szCs w:val="21"/>
                    </w:rPr>
                  </w:pPr>
                  <w:r>
                    <w:rPr>
                      <w:sz w:val="21"/>
                      <w:szCs w:val="21"/>
                    </w:rPr>
                    <w:t>VOCs</w:t>
                  </w:r>
                  <w:r>
                    <w:rPr>
                      <w:rFonts w:hint="eastAsia"/>
                      <w:bCs/>
                      <w:sz w:val="21"/>
                      <w:szCs w:val="21"/>
                    </w:rPr>
                    <w:t>（以非甲烷总烃计）</w:t>
                  </w:r>
                </w:p>
              </w:tc>
              <w:tc>
                <w:tcPr>
                  <w:tcW w:w="595" w:type="pct"/>
                  <w:tcBorders>
                    <w:tl2br w:val="nil"/>
                    <w:tr2bl w:val="nil"/>
                  </w:tcBorders>
                  <w:vAlign w:val="center"/>
                </w:tcPr>
                <w:p>
                  <w:pPr>
                    <w:pStyle w:val="25"/>
                    <w:rPr>
                      <w:sz w:val="21"/>
                      <w:szCs w:val="21"/>
                    </w:rPr>
                  </w:pPr>
                  <w:r>
                    <w:rPr>
                      <w:rFonts w:hint="eastAsia"/>
                      <w:sz w:val="21"/>
                      <w:szCs w:val="21"/>
                    </w:rPr>
                    <w:t>0.73</w:t>
                  </w:r>
                </w:p>
              </w:tc>
              <w:tc>
                <w:tcPr>
                  <w:tcW w:w="595" w:type="pct"/>
                  <w:tcBorders>
                    <w:tl2br w:val="nil"/>
                    <w:tr2bl w:val="nil"/>
                  </w:tcBorders>
                  <w:vAlign w:val="center"/>
                </w:tcPr>
                <w:p>
                  <w:pPr>
                    <w:pStyle w:val="25"/>
                    <w:rPr>
                      <w:sz w:val="21"/>
                      <w:szCs w:val="21"/>
                    </w:rPr>
                  </w:pPr>
                  <w:r>
                    <w:rPr>
                      <w:rFonts w:hint="eastAsia"/>
                      <w:sz w:val="21"/>
                      <w:szCs w:val="21"/>
                    </w:rPr>
                    <w:t>0.85</w:t>
                  </w:r>
                </w:p>
              </w:tc>
              <w:tc>
                <w:tcPr>
                  <w:tcW w:w="595" w:type="pct"/>
                  <w:tcBorders>
                    <w:tl2br w:val="nil"/>
                    <w:tr2bl w:val="nil"/>
                  </w:tcBorders>
                  <w:vAlign w:val="center"/>
                </w:tcPr>
                <w:p>
                  <w:pPr>
                    <w:pStyle w:val="25"/>
                    <w:rPr>
                      <w:sz w:val="21"/>
                      <w:szCs w:val="21"/>
                    </w:rPr>
                  </w:pPr>
                  <w:r>
                    <w:rPr>
                      <w:rFonts w:hint="eastAsia"/>
                      <w:sz w:val="21"/>
                      <w:szCs w:val="21"/>
                    </w:rPr>
                    <w:t>0.81</w:t>
                  </w:r>
                </w:p>
              </w:tc>
              <w:tc>
                <w:tcPr>
                  <w:tcW w:w="595" w:type="pct"/>
                  <w:tcBorders>
                    <w:tl2br w:val="nil"/>
                    <w:tr2bl w:val="nil"/>
                  </w:tcBorders>
                  <w:vAlign w:val="center"/>
                </w:tcPr>
                <w:p>
                  <w:pPr>
                    <w:pStyle w:val="25"/>
                    <w:rPr>
                      <w:sz w:val="21"/>
                      <w:szCs w:val="21"/>
                    </w:rPr>
                  </w:pPr>
                  <w:r>
                    <w:rPr>
                      <w:rFonts w:hint="eastAsia"/>
                      <w:sz w:val="21"/>
                      <w:szCs w:val="21"/>
                    </w:rPr>
                    <w:t>0.80</w:t>
                  </w:r>
                </w:p>
              </w:tc>
              <w:tc>
                <w:tcPr>
                  <w:tcW w:w="708" w:type="pct"/>
                  <w:tcBorders>
                    <w:tl2br w:val="nil"/>
                    <w:tr2bl w:val="nil"/>
                  </w:tcBorders>
                  <w:vAlign w:val="center"/>
                </w:tcPr>
                <w:p>
                  <w:pPr>
                    <w:snapToGrid w:val="0"/>
                    <w:spacing w:line="240" w:lineRule="auto"/>
                    <w:jc w:val="center"/>
                    <w:rPr>
                      <w:sz w:val="21"/>
                      <w:szCs w:val="21"/>
                      <w:vertAlign w:val="superscript"/>
                    </w:rPr>
                  </w:pPr>
                  <w:r>
                    <w:rPr>
                      <w:rFonts w:hint="eastAsia"/>
                      <w:sz w:val="21"/>
                      <w:szCs w:val="21"/>
                    </w:rPr>
                    <w:t>mg/m³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95" w:type="pct"/>
                  <w:tcBorders>
                    <w:tl2br w:val="nil"/>
                    <w:tr2bl w:val="nil"/>
                  </w:tcBorders>
                  <w:vAlign w:val="center"/>
                </w:tcPr>
                <w:p>
                  <w:pPr>
                    <w:snapToGrid w:val="0"/>
                    <w:spacing w:line="240" w:lineRule="auto"/>
                    <w:jc w:val="center"/>
                    <w:rPr>
                      <w:sz w:val="21"/>
                      <w:szCs w:val="21"/>
                    </w:rPr>
                  </w:pPr>
                  <w:r>
                    <w:rPr>
                      <w:rFonts w:hint="eastAsia"/>
                      <w:sz w:val="21"/>
                      <w:szCs w:val="21"/>
                    </w:rPr>
                    <w:t>下风向监测点○2#</w:t>
                  </w:r>
                </w:p>
              </w:tc>
              <w:tc>
                <w:tcPr>
                  <w:tcW w:w="816" w:type="pct"/>
                  <w:tcBorders>
                    <w:tl2br w:val="nil"/>
                    <w:tr2bl w:val="nil"/>
                  </w:tcBorders>
                  <w:vAlign w:val="center"/>
                </w:tcPr>
                <w:p>
                  <w:pPr>
                    <w:snapToGrid w:val="0"/>
                    <w:spacing w:line="240" w:lineRule="auto"/>
                    <w:jc w:val="center"/>
                    <w:rPr>
                      <w:sz w:val="21"/>
                      <w:szCs w:val="21"/>
                    </w:rPr>
                  </w:pPr>
                  <w:r>
                    <w:rPr>
                      <w:sz w:val="21"/>
                      <w:szCs w:val="21"/>
                    </w:rPr>
                    <w:t>VOCs</w:t>
                  </w:r>
                  <w:r>
                    <w:rPr>
                      <w:rFonts w:hint="eastAsia"/>
                      <w:bCs/>
                      <w:sz w:val="21"/>
                      <w:szCs w:val="21"/>
                    </w:rPr>
                    <w:t>（以非甲烷总烃计）</w:t>
                  </w:r>
                </w:p>
              </w:tc>
              <w:tc>
                <w:tcPr>
                  <w:tcW w:w="595" w:type="pct"/>
                  <w:tcBorders>
                    <w:tl2br w:val="nil"/>
                    <w:tr2bl w:val="nil"/>
                  </w:tcBorders>
                  <w:vAlign w:val="center"/>
                </w:tcPr>
                <w:p>
                  <w:pPr>
                    <w:pStyle w:val="25"/>
                    <w:rPr>
                      <w:sz w:val="21"/>
                      <w:szCs w:val="21"/>
                    </w:rPr>
                  </w:pPr>
                  <w:r>
                    <w:rPr>
                      <w:rFonts w:hint="eastAsia"/>
                      <w:sz w:val="21"/>
                      <w:szCs w:val="21"/>
                    </w:rPr>
                    <w:t>0.87</w:t>
                  </w:r>
                </w:p>
              </w:tc>
              <w:tc>
                <w:tcPr>
                  <w:tcW w:w="595" w:type="pct"/>
                  <w:tcBorders>
                    <w:tl2br w:val="nil"/>
                    <w:tr2bl w:val="nil"/>
                  </w:tcBorders>
                  <w:vAlign w:val="center"/>
                </w:tcPr>
                <w:p>
                  <w:pPr>
                    <w:pStyle w:val="25"/>
                    <w:rPr>
                      <w:sz w:val="21"/>
                      <w:szCs w:val="21"/>
                    </w:rPr>
                  </w:pPr>
                  <w:r>
                    <w:rPr>
                      <w:rFonts w:hint="eastAsia"/>
                      <w:sz w:val="21"/>
                      <w:szCs w:val="21"/>
                    </w:rPr>
                    <w:t>0.94</w:t>
                  </w:r>
                </w:p>
              </w:tc>
              <w:tc>
                <w:tcPr>
                  <w:tcW w:w="595" w:type="pct"/>
                  <w:tcBorders>
                    <w:tl2br w:val="nil"/>
                    <w:tr2bl w:val="nil"/>
                  </w:tcBorders>
                  <w:vAlign w:val="center"/>
                </w:tcPr>
                <w:p>
                  <w:pPr>
                    <w:pStyle w:val="25"/>
                    <w:rPr>
                      <w:sz w:val="21"/>
                      <w:szCs w:val="21"/>
                    </w:rPr>
                  </w:pPr>
                  <w:r>
                    <w:rPr>
                      <w:rFonts w:hint="eastAsia"/>
                      <w:sz w:val="21"/>
                      <w:szCs w:val="21"/>
                    </w:rPr>
                    <w:t>1.02</w:t>
                  </w:r>
                </w:p>
              </w:tc>
              <w:tc>
                <w:tcPr>
                  <w:tcW w:w="595" w:type="pct"/>
                  <w:tcBorders>
                    <w:tl2br w:val="nil"/>
                    <w:tr2bl w:val="nil"/>
                  </w:tcBorders>
                  <w:vAlign w:val="center"/>
                </w:tcPr>
                <w:p>
                  <w:pPr>
                    <w:pStyle w:val="25"/>
                    <w:rPr>
                      <w:sz w:val="21"/>
                      <w:szCs w:val="21"/>
                    </w:rPr>
                  </w:pPr>
                  <w:r>
                    <w:rPr>
                      <w:rFonts w:hint="eastAsia"/>
                      <w:sz w:val="21"/>
                      <w:szCs w:val="21"/>
                    </w:rPr>
                    <w:t>0.96</w:t>
                  </w:r>
                </w:p>
              </w:tc>
              <w:tc>
                <w:tcPr>
                  <w:tcW w:w="708" w:type="pct"/>
                  <w:tcBorders>
                    <w:tl2br w:val="nil"/>
                    <w:tr2bl w:val="nil"/>
                  </w:tcBorders>
                  <w:vAlign w:val="center"/>
                </w:tcPr>
                <w:p>
                  <w:pPr>
                    <w:snapToGrid w:val="0"/>
                    <w:spacing w:line="240" w:lineRule="auto"/>
                    <w:jc w:val="center"/>
                    <w:rPr>
                      <w:sz w:val="21"/>
                      <w:szCs w:val="21"/>
                    </w:rPr>
                  </w:pPr>
                  <w:r>
                    <w:rPr>
                      <w:rFonts w:hint="eastAsia"/>
                      <w:sz w:val="21"/>
                      <w:szCs w:val="21"/>
                    </w:rPr>
                    <w:t>mg/m³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95" w:type="pct"/>
                  <w:tcBorders>
                    <w:tl2br w:val="nil"/>
                    <w:tr2bl w:val="nil"/>
                  </w:tcBorders>
                  <w:vAlign w:val="center"/>
                </w:tcPr>
                <w:p>
                  <w:pPr>
                    <w:snapToGrid w:val="0"/>
                    <w:spacing w:line="240" w:lineRule="auto"/>
                    <w:jc w:val="center"/>
                    <w:rPr>
                      <w:sz w:val="21"/>
                      <w:szCs w:val="21"/>
                    </w:rPr>
                  </w:pPr>
                  <w:r>
                    <w:rPr>
                      <w:rFonts w:hint="eastAsia"/>
                      <w:sz w:val="21"/>
                      <w:szCs w:val="21"/>
                    </w:rPr>
                    <w:t>下风向监测点○3#</w:t>
                  </w:r>
                </w:p>
              </w:tc>
              <w:tc>
                <w:tcPr>
                  <w:tcW w:w="816" w:type="pct"/>
                  <w:tcBorders>
                    <w:tl2br w:val="nil"/>
                    <w:tr2bl w:val="nil"/>
                  </w:tcBorders>
                  <w:vAlign w:val="center"/>
                </w:tcPr>
                <w:p>
                  <w:pPr>
                    <w:snapToGrid w:val="0"/>
                    <w:spacing w:line="240" w:lineRule="auto"/>
                    <w:jc w:val="center"/>
                    <w:rPr>
                      <w:sz w:val="21"/>
                      <w:szCs w:val="21"/>
                    </w:rPr>
                  </w:pPr>
                  <w:r>
                    <w:rPr>
                      <w:sz w:val="21"/>
                      <w:szCs w:val="21"/>
                    </w:rPr>
                    <w:t>VOCs</w:t>
                  </w:r>
                  <w:r>
                    <w:rPr>
                      <w:rFonts w:hint="eastAsia"/>
                      <w:bCs/>
                      <w:sz w:val="21"/>
                      <w:szCs w:val="21"/>
                    </w:rPr>
                    <w:t>（以非甲烷总烃计）</w:t>
                  </w:r>
                </w:p>
              </w:tc>
              <w:tc>
                <w:tcPr>
                  <w:tcW w:w="595" w:type="pct"/>
                  <w:tcBorders>
                    <w:tl2br w:val="nil"/>
                    <w:tr2bl w:val="nil"/>
                  </w:tcBorders>
                  <w:vAlign w:val="center"/>
                </w:tcPr>
                <w:p>
                  <w:pPr>
                    <w:pStyle w:val="25"/>
                    <w:rPr>
                      <w:sz w:val="21"/>
                      <w:szCs w:val="21"/>
                    </w:rPr>
                  </w:pPr>
                  <w:r>
                    <w:rPr>
                      <w:rFonts w:hint="eastAsia"/>
                      <w:sz w:val="21"/>
                      <w:szCs w:val="21"/>
                    </w:rPr>
                    <w:t>1.03</w:t>
                  </w:r>
                </w:p>
              </w:tc>
              <w:tc>
                <w:tcPr>
                  <w:tcW w:w="595" w:type="pct"/>
                  <w:tcBorders>
                    <w:tl2br w:val="nil"/>
                    <w:tr2bl w:val="nil"/>
                  </w:tcBorders>
                  <w:vAlign w:val="center"/>
                </w:tcPr>
                <w:p>
                  <w:pPr>
                    <w:pStyle w:val="25"/>
                    <w:rPr>
                      <w:sz w:val="21"/>
                      <w:szCs w:val="21"/>
                    </w:rPr>
                  </w:pPr>
                  <w:r>
                    <w:rPr>
                      <w:rFonts w:hint="eastAsia"/>
                      <w:sz w:val="21"/>
                      <w:szCs w:val="21"/>
                    </w:rPr>
                    <w:t>0.99</w:t>
                  </w:r>
                </w:p>
              </w:tc>
              <w:tc>
                <w:tcPr>
                  <w:tcW w:w="595" w:type="pct"/>
                  <w:tcBorders>
                    <w:tl2br w:val="nil"/>
                    <w:tr2bl w:val="nil"/>
                  </w:tcBorders>
                  <w:vAlign w:val="center"/>
                </w:tcPr>
                <w:p>
                  <w:pPr>
                    <w:pStyle w:val="25"/>
                    <w:rPr>
                      <w:sz w:val="21"/>
                      <w:szCs w:val="21"/>
                    </w:rPr>
                  </w:pPr>
                  <w:r>
                    <w:rPr>
                      <w:rFonts w:hint="eastAsia"/>
                      <w:sz w:val="21"/>
                      <w:szCs w:val="21"/>
                    </w:rPr>
                    <w:t>0.94</w:t>
                  </w:r>
                </w:p>
              </w:tc>
              <w:tc>
                <w:tcPr>
                  <w:tcW w:w="595" w:type="pct"/>
                  <w:tcBorders>
                    <w:tl2br w:val="nil"/>
                    <w:tr2bl w:val="nil"/>
                  </w:tcBorders>
                  <w:vAlign w:val="center"/>
                </w:tcPr>
                <w:p>
                  <w:pPr>
                    <w:pStyle w:val="25"/>
                    <w:rPr>
                      <w:sz w:val="21"/>
                      <w:szCs w:val="21"/>
                    </w:rPr>
                  </w:pPr>
                  <w:r>
                    <w:rPr>
                      <w:rFonts w:hint="eastAsia"/>
                      <w:sz w:val="21"/>
                      <w:szCs w:val="21"/>
                    </w:rPr>
                    <w:t>0.85</w:t>
                  </w:r>
                </w:p>
              </w:tc>
              <w:tc>
                <w:tcPr>
                  <w:tcW w:w="708" w:type="pct"/>
                  <w:tcBorders>
                    <w:tl2br w:val="nil"/>
                    <w:tr2bl w:val="nil"/>
                  </w:tcBorders>
                  <w:vAlign w:val="center"/>
                </w:tcPr>
                <w:p>
                  <w:pPr>
                    <w:snapToGrid w:val="0"/>
                    <w:spacing w:line="240" w:lineRule="auto"/>
                    <w:jc w:val="center"/>
                    <w:rPr>
                      <w:sz w:val="21"/>
                      <w:szCs w:val="21"/>
                    </w:rPr>
                  </w:pPr>
                  <w:r>
                    <w:rPr>
                      <w:rFonts w:hint="eastAsia"/>
                      <w:sz w:val="21"/>
                      <w:szCs w:val="21"/>
                    </w:rPr>
                    <w:t>mg/m³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95" w:type="pct"/>
                  <w:tcBorders>
                    <w:tl2br w:val="nil"/>
                    <w:tr2bl w:val="nil"/>
                  </w:tcBorders>
                  <w:vAlign w:val="center"/>
                </w:tcPr>
                <w:p>
                  <w:pPr>
                    <w:snapToGrid w:val="0"/>
                    <w:spacing w:line="240" w:lineRule="auto"/>
                    <w:jc w:val="center"/>
                    <w:rPr>
                      <w:sz w:val="21"/>
                      <w:szCs w:val="21"/>
                    </w:rPr>
                  </w:pPr>
                  <w:r>
                    <w:rPr>
                      <w:rFonts w:hint="eastAsia"/>
                      <w:sz w:val="21"/>
                      <w:szCs w:val="21"/>
                    </w:rPr>
                    <w:t>下风向监测点○4#</w:t>
                  </w:r>
                </w:p>
              </w:tc>
              <w:tc>
                <w:tcPr>
                  <w:tcW w:w="816" w:type="pct"/>
                  <w:tcBorders>
                    <w:tl2br w:val="nil"/>
                    <w:tr2bl w:val="nil"/>
                  </w:tcBorders>
                  <w:vAlign w:val="center"/>
                </w:tcPr>
                <w:p>
                  <w:pPr>
                    <w:snapToGrid w:val="0"/>
                    <w:spacing w:line="240" w:lineRule="auto"/>
                    <w:jc w:val="center"/>
                    <w:rPr>
                      <w:sz w:val="21"/>
                      <w:szCs w:val="21"/>
                    </w:rPr>
                  </w:pPr>
                  <w:r>
                    <w:rPr>
                      <w:sz w:val="21"/>
                      <w:szCs w:val="21"/>
                    </w:rPr>
                    <w:t>VOCs</w:t>
                  </w:r>
                  <w:r>
                    <w:rPr>
                      <w:rFonts w:hint="eastAsia"/>
                      <w:bCs/>
                      <w:sz w:val="21"/>
                      <w:szCs w:val="21"/>
                    </w:rPr>
                    <w:t>（以非甲烷总烃计）</w:t>
                  </w:r>
                </w:p>
              </w:tc>
              <w:tc>
                <w:tcPr>
                  <w:tcW w:w="595" w:type="pct"/>
                  <w:tcBorders>
                    <w:tl2br w:val="nil"/>
                    <w:tr2bl w:val="nil"/>
                  </w:tcBorders>
                  <w:vAlign w:val="center"/>
                </w:tcPr>
                <w:p>
                  <w:pPr>
                    <w:pStyle w:val="25"/>
                    <w:rPr>
                      <w:sz w:val="21"/>
                      <w:szCs w:val="21"/>
                    </w:rPr>
                  </w:pPr>
                  <w:r>
                    <w:rPr>
                      <w:rFonts w:hint="eastAsia"/>
                      <w:sz w:val="21"/>
                      <w:szCs w:val="21"/>
                    </w:rPr>
                    <w:t>0.93</w:t>
                  </w:r>
                </w:p>
              </w:tc>
              <w:tc>
                <w:tcPr>
                  <w:tcW w:w="595" w:type="pct"/>
                  <w:tcBorders>
                    <w:tl2br w:val="nil"/>
                    <w:tr2bl w:val="nil"/>
                  </w:tcBorders>
                  <w:vAlign w:val="center"/>
                </w:tcPr>
                <w:p>
                  <w:pPr>
                    <w:pStyle w:val="25"/>
                    <w:rPr>
                      <w:sz w:val="21"/>
                      <w:szCs w:val="21"/>
                    </w:rPr>
                  </w:pPr>
                  <w:r>
                    <w:rPr>
                      <w:rFonts w:hint="eastAsia"/>
                      <w:b w:val="0"/>
                      <w:bCs w:val="0"/>
                      <w:sz w:val="21"/>
                      <w:szCs w:val="21"/>
                    </w:rPr>
                    <w:t>1.07</w:t>
                  </w:r>
                </w:p>
              </w:tc>
              <w:tc>
                <w:tcPr>
                  <w:tcW w:w="595" w:type="pct"/>
                  <w:tcBorders>
                    <w:tl2br w:val="nil"/>
                    <w:tr2bl w:val="nil"/>
                  </w:tcBorders>
                  <w:vAlign w:val="center"/>
                </w:tcPr>
                <w:p>
                  <w:pPr>
                    <w:pStyle w:val="25"/>
                    <w:rPr>
                      <w:sz w:val="21"/>
                      <w:szCs w:val="21"/>
                    </w:rPr>
                  </w:pPr>
                  <w:r>
                    <w:rPr>
                      <w:rFonts w:hint="eastAsia"/>
                      <w:sz w:val="21"/>
                      <w:szCs w:val="21"/>
                    </w:rPr>
                    <w:t>0.91</w:t>
                  </w:r>
                </w:p>
              </w:tc>
              <w:tc>
                <w:tcPr>
                  <w:tcW w:w="595" w:type="pct"/>
                  <w:tcBorders>
                    <w:tl2br w:val="nil"/>
                    <w:tr2bl w:val="nil"/>
                  </w:tcBorders>
                  <w:vAlign w:val="center"/>
                </w:tcPr>
                <w:p>
                  <w:pPr>
                    <w:pStyle w:val="25"/>
                    <w:rPr>
                      <w:sz w:val="21"/>
                      <w:szCs w:val="21"/>
                    </w:rPr>
                  </w:pPr>
                  <w:r>
                    <w:rPr>
                      <w:rFonts w:hint="eastAsia"/>
                      <w:sz w:val="21"/>
                      <w:szCs w:val="21"/>
                    </w:rPr>
                    <w:t>1.00</w:t>
                  </w:r>
                </w:p>
              </w:tc>
              <w:tc>
                <w:tcPr>
                  <w:tcW w:w="708" w:type="pct"/>
                  <w:tcBorders>
                    <w:tl2br w:val="nil"/>
                    <w:tr2bl w:val="nil"/>
                  </w:tcBorders>
                  <w:vAlign w:val="center"/>
                </w:tcPr>
                <w:p>
                  <w:pPr>
                    <w:snapToGrid w:val="0"/>
                    <w:spacing w:line="240" w:lineRule="auto"/>
                    <w:jc w:val="center"/>
                    <w:rPr>
                      <w:sz w:val="21"/>
                      <w:szCs w:val="21"/>
                    </w:rPr>
                  </w:pPr>
                  <w:r>
                    <w:rPr>
                      <w:rFonts w:hint="eastAsia"/>
                      <w:sz w:val="21"/>
                      <w:szCs w:val="21"/>
                    </w:rPr>
                    <w:t>mg/m³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95" w:type="pct"/>
                  <w:tcBorders>
                    <w:tl2br w:val="nil"/>
                    <w:tr2bl w:val="nil"/>
                  </w:tcBorders>
                  <w:vAlign w:val="center"/>
                </w:tcPr>
                <w:p>
                  <w:pPr>
                    <w:snapToGrid w:val="0"/>
                    <w:spacing w:line="240" w:lineRule="auto"/>
                    <w:jc w:val="center"/>
                    <w:rPr>
                      <w:sz w:val="21"/>
                      <w:szCs w:val="21"/>
                    </w:rPr>
                  </w:pPr>
                  <w:r>
                    <w:rPr>
                      <w:rFonts w:hint="eastAsia"/>
                      <w:sz w:val="21"/>
                      <w:szCs w:val="21"/>
                    </w:rPr>
                    <w:t>备注</w:t>
                  </w:r>
                </w:p>
              </w:tc>
              <w:tc>
                <w:tcPr>
                  <w:tcW w:w="3904" w:type="pct"/>
                  <w:gridSpan w:val="6"/>
                  <w:tcBorders>
                    <w:tl2br w:val="nil"/>
                    <w:tr2bl w:val="nil"/>
                  </w:tcBorders>
                  <w:vAlign w:val="center"/>
                </w:tcPr>
                <w:p>
                  <w:pPr>
                    <w:snapToGrid w:val="0"/>
                    <w:spacing w:line="240" w:lineRule="auto"/>
                    <w:rPr>
                      <w:sz w:val="21"/>
                      <w:szCs w:val="21"/>
                    </w:rPr>
                  </w:pPr>
                  <w:r>
                    <w:rPr>
                      <w:sz w:val="21"/>
                      <w:szCs w:val="21"/>
                    </w:rPr>
                    <w:t>VOCs</w:t>
                  </w:r>
                  <w:r>
                    <w:rPr>
                      <w:rFonts w:hint="eastAsia"/>
                      <w:bCs/>
                      <w:sz w:val="21"/>
                      <w:szCs w:val="21"/>
                    </w:rPr>
                    <w:t>（以非甲烷总烃计）</w:t>
                  </w:r>
                  <w:r>
                    <w:rPr>
                      <w:rFonts w:hint="eastAsia"/>
                      <w:sz w:val="21"/>
                      <w:szCs w:val="21"/>
                    </w:rPr>
                    <w:t>样品编号：QW2310A043-QW2310A058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095" w:type="pct"/>
                  <w:vMerge w:val="restart"/>
                  <w:tcBorders>
                    <w:tl2br w:val="nil"/>
                    <w:tr2bl w:val="nil"/>
                  </w:tcBorders>
                  <w:vAlign w:val="center"/>
                </w:tcPr>
                <w:p>
                  <w:pPr>
                    <w:snapToGrid w:val="0"/>
                    <w:spacing w:line="240" w:lineRule="auto"/>
                    <w:jc w:val="center"/>
                    <w:rPr>
                      <w:b/>
                      <w:sz w:val="21"/>
                      <w:szCs w:val="21"/>
                    </w:rPr>
                  </w:pPr>
                  <w:r>
                    <w:rPr>
                      <w:rFonts w:hint="eastAsia"/>
                      <w:b/>
                      <w:sz w:val="21"/>
                      <w:szCs w:val="21"/>
                    </w:rPr>
                    <w:t>采样点位</w:t>
                  </w:r>
                </w:p>
              </w:tc>
              <w:tc>
                <w:tcPr>
                  <w:tcW w:w="816" w:type="pct"/>
                  <w:vMerge w:val="restart"/>
                  <w:tcBorders>
                    <w:tl2br w:val="nil"/>
                    <w:tr2bl w:val="nil"/>
                  </w:tcBorders>
                  <w:vAlign w:val="center"/>
                </w:tcPr>
                <w:p>
                  <w:pPr>
                    <w:snapToGrid w:val="0"/>
                    <w:spacing w:line="240" w:lineRule="auto"/>
                    <w:jc w:val="center"/>
                    <w:rPr>
                      <w:b/>
                      <w:sz w:val="21"/>
                      <w:szCs w:val="21"/>
                    </w:rPr>
                  </w:pPr>
                  <w:r>
                    <w:rPr>
                      <w:rFonts w:hint="eastAsia"/>
                      <w:b/>
                      <w:sz w:val="21"/>
                      <w:szCs w:val="21"/>
                    </w:rPr>
                    <w:t>监测项目</w:t>
                  </w:r>
                </w:p>
              </w:tc>
              <w:tc>
                <w:tcPr>
                  <w:tcW w:w="2380" w:type="pct"/>
                  <w:gridSpan w:val="4"/>
                  <w:tcBorders>
                    <w:tl2br w:val="nil"/>
                    <w:tr2bl w:val="nil"/>
                  </w:tcBorders>
                  <w:vAlign w:val="center"/>
                </w:tcPr>
                <w:p>
                  <w:pPr>
                    <w:snapToGrid w:val="0"/>
                    <w:spacing w:line="240" w:lineRule="auto"/>
                    <w:jc w:val="center"/>
                    <w:rPr>
                      <w:b/>
                      <w:sz w:val="21"/>
                      <w:szCs w:val="21"/>
                    </w:rPr>
                  </w:pPr>
                  <w:r>
                    <w:rPr>
                      <w:rFonts w:hint="eastAsia"/>
                      <w:b/>
                      <w:sz w:val="21"/>
                      <w:szCs w:val="21"/>
                    </w:rPr>
                    <w:t>2023年10月13日采样监测结果</w:t>
                  </w:r>
                </w:p>
              </w:tc>
              <w:tc>
                <w:tcPr>
                  <w:tcW w:w="708" w:type="pct"/>
                  <w:vMerge w:val="restart"/>
                  <w:tcBorders>
                    <w:tl2br w:val="nil"/>
                    <w:tr2bl w:val="nil"/>
                  </w:tcBorders>
                  <w:vAlign w:val="center"/>
                </w:tcPr>
                <w:p>
                  <w:pPr>
                    <w:snapToGrid w:val="0"/>
                    <w:spacing w:line="240" w:lineRule="auto"/>
                    <w:jc w:val="center"/>
                    <w:rPr>
                      <w:b/>
                      <w:sz w:val="21"/>
                      <w:szCs w:val="21"/>
                    </w:rPr>
                  </w:pPr>
                  <w:r>
                    <w:rPr>
                      <w:rFonts w:hint="eastAsia"/>
                      <w:b/>
                      <w:sz w:val="21"/>
                      <w:szCs w:val="21"/>
                    </w:rPr>
                    <w:t>单位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095" w:type="pct"/>
                  <w:vMerge w:val="continue"/>
                  <w:tcBorders>
                    <w:tl2br w:val="nil"/>
                    <w:tr2bl w:val="nil"/>
                  </w:tcBorders>
                  <w:vAlign w:val="center"/>
                </w:tcPr>
                <w:p>
                  <w:pPr>
                    <w:snapToGrid w:val="0"/>
                    <w:spacing w:line="240" w:lineRule="auto"/>
                    <w:jc w:val="center"/>
                    <w:rPr>
                      <w:sz w:val="21"/>
                      <w:szCs w:val="21"/>
                    </w:rPr>
                  </w:pPr>
                </w:p>
              </w:tc>
              <w:tc>
                <w:tcPr>
                  <w:tcW w:w="816" w:type="pct"/>
                  <w:vMerge w:val="continue"/>
                  <w:tcBorders>
                    <w:tl2br w:val="nil"/>
                    <w:tr2bl w:val="nil"/>
                  </w:tcBorders>
                  <w:vAlign w:val="center"/>
                </w:tcPr>
                <w:p>
                  <w:pPr>
                    <w:snapToGrid w:val="0"/>
                    <w:spacing w:line="240" w:lineRule="auto"/>
                    <w:jc w:val="center"/>
                    <w:rPr>
                      <w:sz w:val="21"/>
                      <w:szCs w:val="21"/>
                    </w:rPr>
                  </w:pPr>
                </w:p>
              </w:tc>
              <w:tc>
                <w:tcPr>
                  <w:tcW w:w="595" w:type="pct"/>
                  <w:tcBorders>
                    <w:tl2br w:val="nil"/>
                    <w:tr2bl w:val="nil"/>
                  </w:tcBorders>
                  <w:vAlign w:val="center"/>
                </w:tcPr>
                <w:p>
                  <w:pPr>
                    <w:snapToGrid w:val="0"/>
                    <w:spacing w:line="240" w:lineRule="auto"/>
                    <w:jc w:val="center"/>
                    <w:rPr>
                      <w:b/>
                      <w:sz w:val="21"/>
                      <w:szCs w:val="21"/>
                    </w:rPr>
                  </w:pPr>
                  <w:r>
                    <w:rPr>
                      <w:rFonts w:hint="eastAsia"/>
                      <w:b/>
                      <w:sz w:val="21"/>
                      <w:szCs w:val="21"/>
                    </w:rPr>
                    <w:t>频次1</w:t>
                  </w:r>
                </w:p>
              </w:tc>
              <w:tc>
                <w:tcPr>
                  <w:tcW w:w="595" w:type="pct"/>
                  <w:tcBorders>
                    <w:tl2br w:val="nil"/>
                    <w:tr2bl w:val="nil"/>
                  </w:tcBorders>
                  <w:vAlign w:val="center"/>
                </w:tcPr>
                <w:p>
                  <w:pPr>
                    <w:snapToGrid w:val="0"/>
                    <w:spacing w:line="240" w:lineRule="auto"/>
                    <w:jc w:val="center"/>
                    <w:rPr>
                      <w:b/>
                      <w:sz w:val="21"/>
                      <w:szCs w:val="21"/>
                    </w:rPr>
                  </w:pPr>
                  <w:r>
                    <w:rPr>
                      <w:rFonts w:hint="eastAsia"/>
                      <w:b/>
                      <w:sz w:val="21"/>
                      <w:szCs w:val="21"/>
                    </w:rPr>
                    <w:t>频次2</w:t>
                  </w:r>
                </w:p>
              </w:tc>
              <w:tc>
                <w:tcPr>
                  <w:tcW w:w="595" w:type="pct"/>
                  <w:tcBorders>
                    <w:tl2br w:val="nil"/>
                    <w:tr2bl w:val="nil"/>
                  </w:tcBorders>
                  <w:vAlign w:val="center"/>
                </w:tcPr>
                <w:p>
                  <w:pPr>
                    <w:snapToGrid w:val="0"/>
                    <w:spacing w:line="240" w:lineRule="auto"/>
                    <w:jc w:val="center"/>
                    <w:rPr>
                      <w:b/>
                      <w:sz w:val="21"/>
                      <w:szCs w:val="21"/>
                    </w:rPr>
                  </w:pPr>
                  <w:r>
                    <w:rPr>
                      <w:rFonts w:hint="eastAsia"/>
                      <w:b/>
                      <w:sz w:val="21"/>
                      <w:szCs w:val="21"/>
                    </w:rPr>
                    <w:t>频次3</w:t>
                  </w:r>
                </w:p>
              </w:tc>
              <w:tc>
                <w:tcPr>
                  <w:tcW w:w="595" w:type="pct"/>
                  <w:tcBorders>
                    <w:tl2br w:val="nil"/>
                    <w:tr2bl w:val="nil"/>
                  </w:tcBorders>
                  <w:vAlign w:val="center"/>
                </w:tcPr>
                <w:p>
                  <w:pPr>
                    <w:snapToGrid w:val="0"/>
                    <w:spacing w:line="240" w:lineRule="auto"/>
                    <w:jc w:val="center"/>
                    <w:rPr>
                      <w:b/>
                      <w:sz w:val="21"/>
                      <w:szCs w:val="21"/>
                    </w:rPr>
                  </w:pPr>
                  <w:r>
                    <w:rPr>
                      <w:rFonts w:hint="eastAsia"/>
                      <w:b/>
                      <w:sz w:val="21"/>
                      <w:szCs w:val="21"/>
                    </w:rPr>
                    <w:t>频次4</w:t>
                  </w:r>
                </w:p>
              </w:tc>
              <w:tc>
                <w:tcPr>
                  <w:tcW w:w="708" w:type="pct"/>
                  <w:vMerge w:val="continue"/>
                  <w:tcBorders>
                    <w:tl2br w:val="nil"/>
                    <w:tr2bl w:val="nil"/>
                  </w:tcBorders>
                  <w:vAlign w:val="center"/>
                </w:tcPr>
                <w:p>
                  <w:pPr>
                    <w:widowControl/>
                    <w:adjustRightInd/>
                    <w:spacing w:line="240" w:lineRule="auto"/>
                    <w:jc w:val="center"/>
                    <w:textAlignment w:val="auto"/>
                    <w:rPr>
                      <w:b/>
                      <w:bCs/>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95" w:type="pct"/>
                  <w:tcBorders>
                    <w:tl2br w:val="nil"/>
                    <w:tr2bl w:val="nil"/>
                  </w:tcBorders>
                  <w:vAlign w:val="center"/>
                </w:tcPr>
                <w:p>
                  <w:pPr>
                    <w:snapToGrid w:val="0"/>
                    <w:spacing w:line="240" w:lineRule="auto"/>
                    <w:jc w:val="center"/>
                    <w:rPr>
                      <w:sz w:val="21"/>
                      <w:szCs w:val="21"/>
                    </w:rPr>
                  </w:pPr>
                  <w:r>
                    <w:rPr>
                      <w:rFonts w:hint="eastAsia"/>
                      <w:sz w:val="21"/>
                      <w:szCs w:val="21"/>
                    </w:rPr>
                    <w:t>场内监测点○5#</w:t>
                  </w:r>
                </w:p>
              </w:tc>
              <w:tc>
                <w:tcPr>
                  <w:tcW w:w="816" w:type="pct"/>
                  <w:tcBorders>
                    <w:tl2br w:val="nil"/>
                    <w:tr2bl w:val="nil"/>
                  </w:tcBorders>
                  <w:vAlign w:val="center"/>
                </w:tcPr>
                <w:p>
                  <w:pPr>
                    <w:snapToGrid w:val="0"/>
                    <w:spacing w:line="240" w:lineRule="auto"/>
                    <w:jc w:val="center"/>
                    <w:rPr>
                      <w:sz w:val="21"/>
                      <w:szCs w:val="21"/>
                    </w:rPr>
                  </w:pPr>
                  <w:r>
                    <w:rPr>
                      <w:sz w:val="21"/>
                      <w:szCs w:val="21"/>
                    </w:rPr>
                    <w:t>VOCs</w:t>
                  </w:r>
                  <w:r>
                    <w:rPr>
                      <w:rFonts w:hint="eastAsia"/>
                      <w:bCs/>
                      <w:sz w:val="21"/>
                      <w:szCs w:val="21"/>
                    </w:rPr>
                    <w:t>（以非甲烷总烃计）</w:t>
                  </w:r>
                </w:p>
              </w:tc>
              <w:tc>
                <w:tcPr>
                  <w:tcW w:w="595" w:type="pct"/>
                  <w:tcBorders>
                    <w:tl2br w:val="nil"/>
                    <w:tr2bl w:val="nil"/>
                  </w:tcBorders>
                  <w:vAlign w:val="center"/>
                </w:tcPr>
                <w:p>
                  <w:pPr>
                    <w:pStyle w:val="25"/>
                    <w:rPr>
                      <w:sz w:val="21"/>
                      <w:szCs w:val="21"/>
                    </w:rPr>
                  </w:pPr>
                  <w:r>
                    <w:rPr>
                      <w:rFonts w:hint="eastAsia"/>
                      <w:sz w:val="21"/>
                      <w:szCs w:val="21"/>
                    </w:rPr>
                    <w:t>3.52</w:t>
                  </w:r>
                </w:p>
              </w:tc>
              <w:tc>
                <w:tcPr>
                  <w:tcW w:w="595" w:type="pct"/>
                  <w:tcBorders>
                    <w:tl2br w:val="nil"/>
                    <w:tr2bl w:val="nil"/>
                  </w:tcBorders>
                  <w:vAlign w:val="center"/>
                </w:tcPr>
                <w:p>
                  <w:pPr>
                    <w:pStyle w:val="25"/>
                    <w:rPr>
                      <w:sz w:val="21"/>
                      <w:szCs w:val="21"/>
                    </w:rPr>
                  </w:pPr>
                  <w:r>
                    <w:rPr>
                      <w:rFonts w:hint="eastAsia"/>
                      <w:sz w:val="21"/>
                      <w:szCs w:val="21"/>
                    </w:rPr>
                    <w:t>3.06</w:t>
                  </w:r>
                </w:p>
              </w:tc>
              <w:tc>
                <w:tcPr>
                  <w:tcW w:w="595" w:type="pct"/>
                  <w:tcBorders>
                    <w:tl2br w:val="nil"/>
                    <w:tr2bl w:val="nil"/>
                  </w:tcBorders>
                  <w:vAlign w:val="center"/>
                </w:tcPr>
                <w:p>
                  <w:pPr>
                    <w:pStyle w:val="25"/>
                    <w:rPr>
                      <w:sz w:val="21"/>
                      <w:szCs w:val="21"/>
                    </w:rPr>
                  </w:pPr>
                  <w:r>
                    <w:rPr>
                      <w:rFonts w:hint="eastAsia"/>
                      <w:sz w:val="21"/>
                      <w:szCs w:val="21"/>
                    </w:rPr>
                    <w:t>2.80</w:t>
                  </w:r>
                </w:p>
              </w:tc>
              <w:tc>
                <w:tcPr>
                  <w:tcW w:w="595" w:type="pct"/>
                  <w:tcBorders>
                    <w:tl2br w:val="nil"/>
                    <w:tr2bl w:val="nil"/>
                  </w:tcBorders>
                  <w:vAlign w:val="center"/>
                </w:tcPr>
                <w:p>
                  <w:pPr>
                    <w:pStyle w:val="25"/>
                    <w:rPr>
                      <w:sz w:val="21"/>
                      <w:szCs w:val="21"/>
                    </w:rPr>
                  </w:pPr>
                  <w:r>
                    <w:rPr>
                      <w:rFonts w:hint="eastAsia"/>
                      <w:sz w:val="21"/>
                      <w:szCs w:val="21"/>
                    </w:rPr>
                    <w:t>3.86</w:t>
                  </w:r>
                </w:p>
              </w:tc>
              <w:tc>
                <w:tcPr>
                  <w:tcW w:w="708" w:type="pct"/>
                  <w:tcBorders>
                    <w:tl2br w:val="nil"/>
                    <w:tr2bl w:val="nil"/>
                  </w:tcBorders>
                  <w:vAlign w:val="center"/>
                </w:tcPr>
                <w:p>
                  <w:pPr>
                    <w:snapToGrid w:val="0"/>
                    <w:spacing w:line="240" w:lineRule="auto"/>
                    <w:jc w:val="center"/>
                    <w:rPr>
                      <w:sz w:val="21"/>
                      <w:szCs w:val="21"/>
                      <w:vertAlign w:val="superscript"/>
                    </w:rPr>
                  </w:pPr>
                  <w:r>
                    <w:rPr>
                      <w:rFonts w:hint="eastAsia"/>
                      <w:sz w:val="21"/>
                      <w:szCs w:val="21"/>
                    </w:rPr>
                    <w:t>mg/m³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95" w:type="pct"/>
                  <w:tcBorders>
                    <w:tl2br w:val="nil"/>
                    <w:tr2bl w:val="nil"/>
                  </w:tcBorders>
                  <w:vAlign w:val="center"/>
                </w:tcPr>
                <w:p>
                  <w:pPr>
                    <w:snapToGrid w:val="0"/>
                    <w:spacing w:line="240" w:lineRule="auto"/>
                    <w:jc w:val="center"/>
                    <w:rPr>
                      <w:sz w:val="21"/>
                      <w:szCs w:val="21"/>
                    </w:rPr>
                  </w:pPr>
                  <w:r>
                    <w:rPr>
                      <w:rFonts w:hint="eastAsia"/>
                      <w:sz w:val="21"/>
                      <w:szCs w:val="21"/>
                    </w:rPr>
                    <w:t>备注</w:t>
                  </w:r>
                </w:p>
              </w:tc>
              <w:tc>
                <w:tcPr>
                  <w:tcW w:w="3904" w:type="pct"/>
                  <w:gridSpan w:val="6"/>
                  <w:tcBorders>
                    <w:tl2br w:val="nil"/>
                    <w:tr2bl w:val="nil"/>
                  </w:tcBorders>
                  <w:vAlign w:val="center"/>
                </w:tcPr>
                <w:p>
                  <w:pPr>
                    <w:snapToGrid w:val="0"/>
                    <w:spacing w:line="240" w:lineRule="auto"/>
                    <w:rPr>
                      <w:sz w:val="21"/>
                      <w:szCs w:val="21"/>
                    </w:rPr>
                  </w:pPr>
                  <w:r>
                    <w:rPr>
                      <w:sz w:val="21"/>
                      <w:szCs w:val="21"/>
                    </w:rPr>
                    <w:t>VOCs</w:t>
                  </w:r>
                  <w:r>
                    <w:rPr>
                      <w:rFonts w:hint="eastAsia"/>
                      <w:bCs/>
                      <w:sz w:val="21"/>
                      <w:szCs w:val="21"/>
                    </w:rPr>
                    <w:t>（以非甲烷总烃计）</w:t>
                  </w:r>
                  <w:r>
                    <w:rPr>
                      <w:rFonts w:hint="eastAsia"/>
                      <w:sz w:val="21"/>
                      <w:szCs w:val="21"/>
                    </w:rPr>
                    <w:t>样品编号：QW2310A060-QW2310A063</w:t>
                  </w:r>
                </w:p>
              </w:tc>
            </w:tr>
          </w:tbl>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eastAsia="宋体"/>
                <w:lang w:val="en-US" w:eastAsia="zh-CN"/>
              </w:rPr>
            </w:pPr>
            <w:r>
              <w:rPr>
                <w:rFonts w:hint="eastAsia" w:cs="Times New Roman"/>
                <w:color w:val="000000"/>
                <w:sz w:val="24"/>
                <w:lang w:val="en-US" w:eastAsia="zh-CN"/>
              </w:rPr>
              <w:t>验收</w:t>
            </w:r>
            <w:r>
              <w:rPr>
                <w:rFonts w:hint="default" w:ascii="Times New Roman" w:hAnsi="Times New Roman" w:cs="Times New Roman"/>
                <w:color w:val="000000"/>
                <w:sz w:val="24"/>
              </w:rPr>
              <w:t>检测结果表明</w:t>
            </w:r>
            <w:r>
              <w:rPr>
                <w:rFonts w:hint="eastAsia" w:cs="Times New Roman"/>
                <w:color w:val="000000"/>
                <w:sz w:val="24"/>
                <w:lang w:eastAsia="zh-CN"/>
              </w:rPr>
              <w:t>：</w:t>
            </w:r>
            <w:r>
              <w:rPr>
                <w:rFonts w:hint="default" w:ascii="Times New Roman" w:hAnsi="Times New Roman" w:cs="Times New Roman"/>
                <w:color w:val="000000"/>
                <w:sz w:val="24"/>
              </w:rPr>
              <w:t>验收检测期间，</w:t>
            </w:r>
            <w:r>
              <w:rPr>
                <w:rFonts w:hint="default" w:ascii="Times New Roman" w:hAnsi="Times New Roman" w:cs="Times New Roman"/>
                <w:sz w:val="24"/>
              </w:rPr>
              <w:t>厂界</w:t>
            </w:r>
            <w:r>
              <w:rPr>
                <w:rFonts w:hint="eastAsia" w:cs="Times New Roman"/>
                <w:sz w:val="24"/>
                <w:lang w:val="en-US" w:eastAsia="zh-CN"/>
              </w:rPr>
              <w:t>无组织</w:t>
            </w:r>
            <w:r>
              <w:rPr>
                <w:rFonts w:hint="default" w:ascii="Times New Roman" w:hAnsi="Times New Roman" w:cs="Times New Roman"/>
                <w:sz w:val="24"/>
              </w:rPr>
              <w:t>VOCs最大排放浓度为1.</w:t>
            </w:r>
            <w:r>
              <w:rPr>
                <w:rFonts w:hint="eastAsia" w:cs="Times New Roman"/>
                <w:sz w:val="24"/>
                <w:lang w:val="en-US" w:eastAsia="zh-CN"/>
              </w:rPr>
              <w:t>10</w:t>
            </w:r>
            <w:r>
              <w:rPr>
                <w:rFonts w:hint="default" w:ascii="Times New Roman" w:hAnsi="Times New Roman" w:cs="Times New Roman"/>
                <w:sz w:val="24"/>
              </w:rPr>
              <w:t>mg/m</w:t>
            </w:r>
            <w:r>
              <w:rPr>
                <w:rFonts w:hint="default" w:ascii="Times New Roman" w:hAnsi="Times New Roman" w:cs="Times New Roman"/>
                <w:sz w:val="24"/>
                <w:vertAlign w:val="superscript"/>
              </w:rPr>
              <w:t>3</w:t>
            </w:r>
            <w:r>
              <w:rPr>
                <w:rFonts w:hint="eastAsia" w:cs="Times New Roman"/>
                <w:sz w:val="24"/>
                <w:vertAlign w:val="baseline"/>
                <w:lang w:eastAsia="zh-CN"/>
              </w:rPr>
              <w:t>，</w:t>
            </w:r>
            <w:r>
              <w:rPr>
                <w:rFonts w:hint="default" w:ascii="Times New Roman" w:hAnsi="Times New Roman" w:cs="Times New Roman"/>
                <w:sz w:val="24"/>
              </w:rPr>
              <w:t>满足《挥发性有机物排放标准</w:t>
            </w:r>
            <w:r>
              <w:rPr>
                <w:rFonts w:hint="eastAsia" w:cs="Times New Roman"/>
                <w:sz w:val="24"/>
                <w:lang w:val="en-US" w:eastAsia="zh-CN"/>
              </w:rPr>
              <w:t xml:space="preserve"> </w:t>
            </w:r>
            <w:r>
              <w:rPr>
                <w:rFonts w:hint="default" w:ascii="Times New Roman" w:hAnsi="Times New Roman" w:cs="Times New Roman"/>
                <w:sz w:val="24"/>
              </w:rPr>
              <w:t>第</w:t>
            </w:r>
            <w:r>
              <w:rPr>
                <w:rFonts w:hint="eastAsia" w:cs="Times New Roman"/>
                <w:sz w:val="24"/>
                <w:lang w:val="en-US" w:eastAsia="zh-CN"/>
              </w:rPr>
              <w:t>6</w:t>
            </w:r>
            <w:r>
              <w:rPr>
                <w:rFonts w:hint="default" w:ascii="Times New Roman" w:hAnsi="Times New Roman" w:cs="Times New Roman"/>
                <w:sz w:val="24"/>
              </w:rPr>
              <w:t>部分</w:t>
            </w:r>
            <w:r>
              <w:rPr>
                <w:rFonts w:hint="eastAsia" w:cs="Times New Roman"/>
                <w:sz w:val="24"/>
                <w:lang w:eastAsia="zh-CN"/>
              </w:rPr>
              <w:t>：</w:t>
            </w:r>
            <w:r>
              <w:rPr>
                <w:rFonts w:hint="default" w:ascii="Times New Roman" w:hAnsi="Times New Roman" w:cs="Times New Roman"/>
                <w:sz w:val="24"/>
              </w:rPr>
              <w:t>有机化工行业》（DB37/2801.6-2018）表3标准要求（VOCs：2.0mg/m</w:t>
            </w:r>
            <w:r>
              <w:rPr>
                <w:rFonts w:hint="default" w:ascii="Times New Roman" w:hAnsi="Times New Roman" w:cs="Times New Roman"/>
                <w:sz w:val="24"/>
                <w:vertAlign w:val="superscript"/>
              </w:rPr>
              <w:t>3</w:t>
            </w:r>
            <w:r>
              <w:rPr>
                <w:rFonts w:hint="default" w:ascii="Times New Roman" w:hAnsi="Times New Roman" w:cs="Times New Roman"/>
                <w:sz w:val="24"/>
              </w:rPr>
              <w:t>）</w:t>
            </w:r>
            <w:r>
              <w:rPr>
                <w:rFonts w:hint="eastAsia" w:cs="Times New Roman"/>
                <w:sz w:val="24"/>
                <w:lang w:eastAsia="zh-CN"/>
              </w:rPr>
              <w:t>；厂内监控点</w:t>
            </w:r>
            <w:r>
              <w:rPr>
                <w:rFonts w:hint="eastAsia" w:cs="Times New Roman"/>
                <w:sz w:val="24"/>
                <w:lang w:val="en-US" w:eastAsia="zh-CN"/>
              </w:rPr>
              <w:t>无组织VOCs最大排放浓度为4.62mg/m</w:t>
            </w:r>
            <w:r>
              <w:rPr>
                <w:rFonts w:hint="eastAsia" w:cs="Times New Roman"/>
                <w:sz w:val="24"/>
                <w:vertAlign w:val="superscript"/>
                <w:lang w:val="en-US" w:eastAsia="zh-CN"/>
              </w:rPr>
              <w:t>3</w:t>
            </w:r>
            <w:r>
              <w:rPr>
                <w:rFonts w:hint="eastAsia" w:cs="Times New Roman"/>
                <w:sz w:val="24"/>
                <w:lang w:val="en-US" w:eastAsia="zh-CN"/>
              </w:rPr>
              <w:t>，满足《挥发性有机物无组织排放控制标准》（GB37822-2019）附录A表A.1标准限值。</w:t>
            </w:r>
          </w:p>
          <w:p>
            <w:pPr>
              <w:spacing w:line="360" w:lineRule="auto"/>
              <w:ind w:firstLine="482" w:firstLineChars="200"/>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9.2.1.</w:t>
            </w:r>
            <w:r>
              <w:rPr>
                <w:rFonts w:hint="eastAsia" w:cs="Times New Roman"/>
                <w:b/>
                <w:bCs/>
                <w:color w:val="auto"/>
                <w:sz w:val="24"/>
                <w:szCs w:val="24"/>
                <w:lang w:val="en-US" w:eastAsia="zh-CN"/>
              </w:rPr>
              <w:t>2</w:t>
            </w:r>
            <w:r>
              <w:rPr>
                <w:rFonts w:hint="default" w:ascii="Times New Roman" w:hAnsi="Times New Roman" w:cs="Times New Roman"/>
                <w:b/>
                <w:bCs/>
                <w:color w:val="auto"/>
                <w:sz w:val="24"/>
                <w:szCs w:val="24"/>
                <w:lang w:eastAsia="zh-CN"/>
              </w:rPr>
              <w:t xml:space="preserve">  厂界噪声</w:t>
            </w:r>
          </w:p>
          <w:p>
            <w:pPr>
              <w:pStyle w:val="24"/>
              <w:spacing w:line="360" w:lineRule="auto"/>
              <w:ind w:firstLine="48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淄博国源检测有限公司于202</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年</w:t>
            </w: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lang w:eastAsia="zh-CN"/>
              </w:rPr>
              <w:t>月</w:t>
            </w:r>
            <w:r>
              <w:rPr>
                <w:rFonts w:hint="eastAsia"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lang w:eastAsia="zh-CN"/>
              </w:rPr>
              <w:t>日</w:t>
            </w: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lang w:val="en-US" w:eastAsia="zh-CN"/>
              </w:rPr>
              <w:t>月</w:t>
            </w:r>
            <w:r>
              <w:rPr>
                <w:rFonts w:hint="eastAsia"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lang w:eastAsia="zh-CN"/>
              </w:rPr>
              <w:t>日对厂界噪声值进行监测，监测结果见</w:t>
            </w:r>
            <w:r>
              <w:rPr>
                <w:rFonts w:hint="eastAsia" w:ascii="Times New Roman" w:hAnsi="Times New Roman" w:cs="Times New Roman"/>
                <w:color w:val="auto"/>
                <w:sz w:val="24"/>
                <w:szCs w:val="24"/>
                <w:lang w:val="en-US" w:eastAsia="zh-CN"/>
              </w:rPr>
              <w:t>下</w:t>
            </w:r>
            <w:r>
              <w:rPr>
                <w:rFonts w:hint="default" w:ascii="Times New Roman" w:hAnsi="Times New Roman" w:cs="Times New Roman"/>
                <w:color w:val="auto"/>
                <w:sz w:val="24"/>
                <w:szCs w:val="24"/>
                <w:lang w:eastAsia="zh-CN"/>
              </w:rPr>
              <w:t>表。</w:t>
            </w:r>
          </w:p>
          <w:p>
            <w:pPr>
              <w:pStyle w:val="24"/>
              <w:spacing w:line="240" w:lineRule="auto"/>
              <w:jc w:val="center"/>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表9-4  噪声检测结果一览表</w:t>
            </w:r>
          </w:p>
          <w:tbl>
            <w:tblPr>
              <w:tblStyle w:val="2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85"/>
              <w:gridCol w:w="1028"/>
              <w:gridCol w:w="1398"/>
              <w:gridCol w:w="1183"/>
              <w:gridCol w:w="1307"/>
              <w:gridCol w:w="1183"/>
              <w:gridCol w:w="130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7" w:type="dxa"/>
                  <w:tcBorders>
                    <w:tl2br w:val="nil"/>
                    <w:tr2bl w:val="nil"/>
                  </w:tcBorders>
                  <w:vAlign w:val="center"/>
                </w:tcPr>
                <w:p>
                  <w:pPr>
                    <w:tabs>
                      <w:tab w:val="left" w:pos="6030"/>
                    </w:tabs>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采样时间</w:t>
                  </w:r>
                </w:p>
              </w:tc>
              <w:tc>
                <w:tcPr>
                  <w:tcW w:w="7231" w:type="dxa"/>
                  <w:gridSpan w:val="6"/>
                  <w:tcBorders>
                    <w:tl2br w:val="nil"/>
                    <w:tr2bl w:val="nil"/>
                  </w:tcBorders>
                  <w:vAlign w:val="center"/>
                </w:tcPr>
                <w:p>
                  <w:pPr>
                    <w:tabs>
                      <w:tab w:val="left" w:pos="6030"/>
                    </w:tabs>
                    <w:spacing w:line="240" w:lineRule="auto"/>
                    <w:ind w:right="-162"/>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2023年10月12日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7" w:type="dxa"/>
                  <w:tcBorders>
                    <w:tl2br w:val="nil"/>
                    <w:tr2bl w:val="nil"/>
                  </w:tcBorders>
                  <w:vAlign w:val="center"/>
                </w:tcPr>
                <w:p>
                  <w:pPr>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采样</w:t>
                  </w:r>
                  <w:r>
                    <w:rPr>
                      <w:rFonts w:ascii="Times New Roman" w:hAnsi="Times New Roman" w:eastAsia="宋体" w:cs="Times New Roman"/>
                      <w:b/>
                      <w:sz w:val="21"/>
                      <w:szCs w:val="21"/>
                    </w:rPr>
                    <w:t>环境</w:t>
                  </w:r>
                  <w:r>
                    <w:rPr>
                      <w:rFonts w:hint="eastAsia" w:ascii="Times New Roman" w:hAnsi="Times New Roman" w:eastAsia="宋体" w:cs="Times New Roman"/>
                      <w:b/>
                      <w:sz w:val="21"/>
                      <w:szCs w:val="21"/>
                    </w:rPr>
                    <w:t>条</w:t>
                  </w:r>
                  <w:r>
                    <w:rPr>
                      <w:rFonts w:ascii="Times New Roman" w:hAnsi="Times New Roman" w:eastAsia="宋体" w:cs="Times New Roman"/>
                      <w:b/>
                      <w:sz w:val="21"/>
                      <w:szCs w:val="21"/>
                    </w:rPr>
                    <w:t>件</w:t>
                  </w:r>
                </w:p>
              </w:tc>
              <w:tc>
                <w:tcPr>
                  <w:tcW w:w="7231" w:type="dxa"/>
                  <w:gridSpan w:val="6"/>
                  <w:tcBorders>
                    <w:tl2br w:val="nil"/>
                    <w:tr2bl w:val="nil"/>
                  </w:tcBorders>
                  <w:vAlign w:val="center"/>
                </w:tcPr>
                <w:p>
                  <w:pPr>
                    <w:spacing w:line="240" w:lineRule="auto"/>
                    <w:rPr>
                      <w:rFonts w:ascii="Times New Roman" w:hAnsi="Times New Roman" w:eastAsia="宋体" w:cs="Times New Roman"/>
                      <w:b/>
                      <w:sz w:val="21"/>
                      <w:szCs w:val="21"/>
                    </w:rPr>
                  </w:pPr>
                  <w:r>
                    <w:rPr>
                      <w:rFonts w:ascii="Times New Roman" w:hAnsi="Times New Roman" w:eastAsia="宋体" w:cs="Times New Roman"/>
                      <w:b/>
                      <w:sz w:val="21"/>
                      <w:szCs w:val="21"/>
                    </w:rPr>
                    <w:t>天气状况：</w:t>
                  </w:r>
                  <w:r>
                    <w:rPr>
                      <w:rFonts w:hint="eastAsia" w:ascii="Times New Roman" w:hAnsi="Times New Roman" w:eastAsia="宋体" w:cs="Times New Roman"/>
                      <w:b/>
                      <w:sz w:val="21"/>
                      <w:szCs w:val="21"/>
                    </w:rPr>
                    <w:t xml:space="preserve">晴           </w:t>
                  </w:r>
                  <w:r>
                    <w:rPr>
                      <w:rFonts w:ascii="Times New Roman" w:hAnsi="Times New Roman" w:eastAsia="宋体" w:cs="Times New Roman"/>
                      <w:b/>
                      <w:sz w:val="21"/>
                      <w:szCs w:val="21"/>
                    </w:rPr>
                    <w:t xml:space="preserve">  </w:t>
                  </w:r>
                  <w:r>
                    <w:rPr>
                      <w:rFonts w:hint="eastAsia" w:ascii="Times New Roman" w:hAnsi="Times New Roman" w:eastAsia="宋体" w:cs="Times New Roman"/>
                      <w:b/>
                      <w:sz w:val="21"/>
                      <w:szCs w:val="21"/>
                    </w:rPr>
                    <w:t>监测期间</w:t>
                  </w:r>
                  <w:r>
                    <w:rPr>
                      <w:rFonts w:ascii="Times New Roman" w:hAnsi="Times New Roman" w:eastAsia="宋体" w:cs="Times New Roman"/>
                      <w:b/>
                      <w:sz w:val="21"/>
                      <w:szCs w:val="21"/>
                    </w:rPr>
                    <w:t>最大风速：</w:t>
                  </w:r>
                  <w:r>
                    <w:rPr>
                      <w:rFonts w:hint="eastAsia" w:ascii="Times New Roman" w:hAnsi="Times New Roman" w:eastAsia="宋体" w:cs="Times New Roman"/>
                      <w:b/>
                      <w:sz w:val="21"/>
                      <w:szCs w:val="21"/>
                    </w:rPr>
                    <w:t>1.5</w:t>
                  </w:r>
                  <w:r>
                    <w:rPr>
                      <w:rFonts w:ascii="Times New Roman" w:hAnsi="Times New Roman" w:eastAsia="宋体" w:cs="Times New Roman"/>
                      <w:b/>
                      <w:sz w:val="21"/>
                      <w:szCs w:val="21"/>
                    </w:rPr>
                    <w:t>m/s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7" w:type="dxa"/>
                  <w:vMerge w:val="restart"/>
                  <w:tcBorders>
                    <w:tl2br w:val="nil"/>
                    <w:tr2bl w:val="nil"/>
                  </w:tcBorders>
                  <w:vAlign w:val="center"/>
                </w:tcPr>
                <w:p>
                  <w:pPr>
                    <w:tabs>
                      <w:tab w:val="left" w:pos="6030"/>
                    </w:tabs>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测点编号</w:t>
                  </w:r>
                </w:p>
              </w:tc>
              <w:tc>
                <w:tcPr>
                  <w:tcW w:w="1004" w:type="dxa"/>
                  <w:vMerge w:val="restart"/>
                  <w:tcBorders>
                    <w:tl2br w:val="nil"/>
                    <w:tr2bl w:val="nil"/>
                  </w:tcBorders>
                  <w:vAlign w:val="center"/>
                </w:tcPr>
                <w:p>
                  <w:pPr>
                    <w:tabs>
                      <w:tab w:val="left" w:pos="6030"/>
                    </w:tabs>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监测点位置</w:t>
                  </w:r>
                </w:p>
              </w:tc>
              <w:tc>
                <w:tcPr>
                  <w:tcW w:w="1365" w:type="dxa"/>
                  <w:vMerge w:val="restart"/>
                  <w:tcBorders>
                    <w:tl2br w:val="nil"/>
                    <w:tr2bl w:val="nil"/>
                  </w:tcBorders>
                  <w:vAlign w:val="center"/>
                </w:tcPr>
                <w:p>
                  <w:pPr>
                    <w:tabs>
                      <w:tab w:val="left" w:pos="6030"/>
                    </w:tabs>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主要声源</w:t>
                  </w:r>
                </w:p>
              </w:tc>
              <w:tc>
                <w:tcPr>
                  <w:tcW w:w="2431" w:type="dxa"/>
                  <w:gridSpan w:val="2"/>
                  <w:tcBorders>
                    <w:tl2br w:val="nil"/>
                    <w:tr2bl w:val="nil"/>
                  </w:tcBorders>
                  <w:vAlign w:val="center"/>
                </w:tcPr>
                <w:p>
                  <w:pPr>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昼间</w:t>
                  </w:r>
                </w:p>
              </w:tc>
              <w:tc>
                <w:tcPr>
                  <w:tcW w:w="2431" w:type="dxa"/>
                  <w:gridSpan w:val="2"/>
                  <w:tcBorders>
                    <w:tl2br w:val="nil"/>
                    <w:tr2bl w:val="nil"/>
                  </w:tcBorders>
                  <w:vAlign w:val="center"/>
                </w:tcPr>
                <w:p>
                  <w:pPr>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7" w:type="dxa"/>
                  <w:vMerge w:val="continue"/>
                  <w:tcBorders>
                    <w:tl2br w:val="nil"/>
                    <w:tr2bl w:val="nil"/>
                  </w:tcBorders>
                  <w:vAlign w:val="center"/>
                </w:tcPr>
                <w:p>
                  <w:pPr>
                    <w:widowControl/>
                    <w:adjustRightInd/>
                    <w:spacing w:line="240" w:lineRule="auto"/>
                    <w:textAlignment w:val="auto"/>
                    <w:rPr>
                      <w:rFonts w:ascii="Times New Roman" w:hAnsi="Times New Roman" w:eastAsia="宋体" w:cs="Times New Roman"/>
                      <w:b/>
                      <w:bCs/>
                      <w:sz w:val="28"/>
                    </w:rPr>
                  </w:pPr>
                </w:p>
              </w:tc>
              <w:tc>
                <w:tcPr>
                  <w:tcW w:w="1004" w:type="dxa"/>
                  <w:vMerge w:val="continue"/>
                  <w:tcBorders>
                    <w:tl2br w:val="nil"/>
                    <w:tr2bl w:val="nil"/>
                  </w:tcBorders>
                  <w:vAlign w:val="center"/>
                </w:tcPr>
                <w:p>
                  <w:pPr>
                    <w:widowControl/>
                    <w:adjustRightInd/>
                    <w:spacing w:line="240" w:lineRule="auto"/>
                    <w:textAlignment w:val="auto"/>
                    <w:rPr>
                      <w:rFonts w:ascii="Times New Roman" w:hAnsi="Times New Roman" w:eastAsia="宋体" w:cs="Times New Roman"/>
                      <w:b/>
                      <w:bCs/>
                      <w:sz w:val="28"/>
                    </w:rPr>
                  </w:pPr>
                </w:p>
              </w:tc>
              <w:tc>
                <w:tcPr>
                  <w:tcW w:w="1365" w:type="dxa"/>
                  <w:vMerge w:val="continue"/>
                  <w:tcBorders>
                    <w:tl2br w:val="nil"/>
                    <w:tr2bl w:val="nil"/>
                  </w:tcBorders>
                  <w:vAlign w:val="center"/>
                </w:tcPr>
                <w:p>
                  <w:pPr>
                    <w:widowControl/>
                    <w:adjustRightInd/>
                    <w:spacing w:line="240" w:lineRule="auto"/>
                    <w:textAlignment w:val="auto"/>
                    <w:rPr>
                      <w:rFonts w:ascii="Times New Roman" w:hAnsi="Times New Roman" w:eastAsia="宋体" w:cs="Times New Roman"/>
                      <w:b/>
                      <w:bCs/>
                      <w:sz w:val="28"/>
                    </w:rPr>
                  </w:pP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监测时间</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监测结果Leq</w:t>
                  </w:r>
                  <w:r>
                    <w:rPr>
                      <w:rFonts w:hint="eastAsia" w:ascii="Times New Roman" w:hAnsi="Times New Roman" w:eastAsia="宋体" w:cs="Times New Roman"/>
                      <w:b/>
                      <w:sz w:val="21"/>
                      <w:szCs w:val="21"/>
                    </w:rPr>
                    <w:t>[</w:t>
                  </w:r>
                  <w:r>
                    <w:rPr>
                      <w:rFonts w:ascii="Times New Roman" w:hAnsi="Times New Roman" w:eastAsia="宋体" w:cs="Times New Roman"/>
                      <w:b/>
                      <w:sz w:val="21"/>
                      <w:szCs w:val="21"/>
                    </w:rPr>
                    <w:t>dB(A)]</w:t>
                  </w: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监测时间</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监测结果Leq</w:t>
                  </w:r>
                  <w:r>
                    <w:rPr>
                      <w:rFonts w:hint="eastAsia" w:ascii="Times New Roman" w:hAnsi="Times New Roman" w:eastAsia="宋体" w:cs="Times New Roman"/>
                      <w:b/>
                      <w:sz w:val="21"/>
                      <w:szCs w:val="21"/>
                    </w:rPr>
                    <w:t>[</w:t>
                  </w:r>
                  <w:r>
                    <w:rPr>
                      <w:rFonts w:ascii="Times New Roman" w:hAnsi="Times New Roman" w:eastAsia="宋体" w:cs="Times New Roman"/>
                      <w:b/>
                      <w:sz w:val="21"/>
                      <w:szCs w:val="21"/>
                    </w:rPr>
                    <w:t>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7"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004"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厂界东</w:t>
                  </w:r>
                </w:p>
              </w:tc>
              <w:tc>
                <w:tcPr>
                  <w:tcW w:w="136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生产噪声</w:t>
                  </w: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10:21</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54.0</w:t>
                  </w: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22:01</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7"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004"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厂界南</w:t>
                  </w:r>
                </w:p>
              </w:tc>
              <w:tc>
                <w:tcPr>
                  <w:tcW w:w="136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生产噪声</w:t>
                  </w: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10:08</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b w:val="0"/>
                      <w:bCs w:val="0"/>
                      <w:sz w:val="21"/>
                      <w:szCs w:val="21"/>
                    </w:rPr>
                    <w:t>54.7</w:t>
                  </w: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22:36</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b w:val="0"/>
                      <w:bCs w:val="0"/>
                      <w:sz w:val="21"/>
                      <w:szCs w:val="21"/>
                    </w:rPr>
                    <w:t>47.1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7"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004"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厂界西</w:t>
                  </w:r>
                </w:p>
              </w:tc>
              <w:tc>
                <w:tcPr>
                  <w:tcW w:w="136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生产噪声</w:t>
                  </w: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09:55</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52.2</w:t>
                  </w: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22:25</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7"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004"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厂界北</w:t>
                  </w:r>
                </w:p>
              </w:tc>
              <w:tc>
                <w:tcPr>
                  <w:tcW w:w="136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生产噪声</w:t>
                  </w: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10:39</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52.8</w:t>
                  </w: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22:13</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46.7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7" w:type="dxa"/>
                  <w:tcBorders>
                    <w:tl2br w:val="nil"/>
                    <w:tr2bl w:val="nil"/>
                  </w:tcBorders>
                  <w:vAlign w:val="center"/>
                </w:tcPr>
                <w:p>
                  <w:pPr>
                    <w:tabs>
                      <w:tab w:val="left" w:pos="6030"/>
                    </w:tabs>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采样时间</w:t>
                  </w:r>
                </w:p>
              </w:tc>
              <w:tc>
                <w:tcPr>
                  <w:tcW w:w="7231" w:type="dxa"/>
                  <w:gridSpan w:val="6"/>
                  <w:tcBorders>
                    <w:tl2br w:val="nil"/>
                    <w:tr2bl w:val="nil"/>
                  </w:tcBorders>
                  <w:vAlign w:val="center"/>
                </w:tcPr>
                <w:p>
                  <w:pPr>
                    <w:tabs>
                      <w:tab w:val="left" w:pos="6030"/>
                    </w:tabs>
                    <w:spacing w:line="240" w:lineRule="auto"/>
                    <w:ind w:right="-162"/>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2023年10月13日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7" w:type="dxa"/>
                  <w:tcBorders>
                    <w:tl2br w:val="nil"/>
                    <w:tr2bl w:val="nil"/>
                  </w:tcBorders>
                  <w:vAlign w:val="center"/>
                </w:tcPr>
                <w:p>
                  <w:pPr>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采样</w:t>
                  </w:r>
                  <w:r>
                    <w:rPr>
                      <w:rFonts w:ascii="Times New Roman" w:hAnsi="Times New Roman" w:eastAsia="宋体" w:cs="Times New Roman"/>
                      <w:b/>
                      <w:sz w:val="21"/>
                      <w:szCs w:val="21"/>
                    </w:rPr>
                    <w:t>环境</w:t>
                  </w:r>
                  <w:r>
                    <w:rPr>
                      <w:rFonts w:hint="eastAsia" w:ascii="Times New Roman" w:hAnsi="Times New Roman" w:eastAsia="宋体" w:cs="Times New Roman"/>
                      <w:b/>
                      <w:sz w:val="21"/>
                      <w:szCs w:val="21"/>
                    </w:rPr>
                    <w:t>条</w:t>
                  </w:r>
                  <w:r>
                    <w:rPr>
                      <w:rFonts w:ascii="Times New Roman" w:hAnsi="Times New Roman" w:eastAsia="宋体" w:cs="Times New Roman"/>
                      <w:b/>
                      <w:sz w:val="21"/>
                      <w:szCs w:val="21"/>
                    </w:rPr>
                    <w:t>件</w:t>
                  </w:r>
                </w:p>
              </w:tc>
              <w:tc>
                <w:tcPr>
                  <w:tcW w:w="7231" w:type="dxa"/>
                  <w:gridSpan w:val="6"/>
                  <w:tcBorders>
                    <w:tl2br w:val="nil"/>
                    <w:tr2bl w:val="nil"/>
                  </w:tcBorders>
                  <w:vAlign w:val="center"/>
                </w:tcPr>
                <w:p>
                  <w:pPr>
                    <w:spacing w:line="240" w:lineRule="auto"/>
                    <w:rPr>
                      <w:rFonts w:ascii="Times New Roman" w:hAnsi="Times New Roman" w:eastAsia="宋体" w:cs="Times New Roman"/>
                      <w:b/>
                      <w:sz w:val="21"/>
                      <w:szCs w:val="21"/>
                    </w:rPr>
                  </w:pPr>
                  <w:r>
                    <w:rPr>
                      <w:rFonts w:ascii="Times New Roman" w:hAnsi="Times New Roman" w:eastAsia="宋体" w:cs="Times New Roman"/>
                      <w:b/>
                      <w:sz w:val="21"/>
                      <w:szCs w:val="21"/>
                    </w:rPr>
                    <w:t>天气状况：</w:t>
                  </w:r>
                  <w:r>
                    <w:rPr>
                      <w:rFonts w:hint="eastAsia" w:ascii="Times New Roman" w:hAnsi="Times New Roman" w:eastAsia="宋体" w:cs="Times New Roman"/>
                      <w:b/>
                      <w:sz w:val="21"/>
                      <w:szCs w:val="21"/>
                    </w:rPr>
                    <w:t xml:space="preserve">多云           </w:t>
                  </w:r>
                  <w:r>
                    <w:rPr>
                      <w:rFonts w:ascii="Times New Roman" w:hAnsi="Times New Roman" w:eastAsia="宋体" w:cs="Times New Roman"/>
                      <w:b/>
                      <w:sz w:val="21"/>
                      <w:szCs w:val="21"/>
                    </w:rPr>
                    <w:t xml:space="preserve">  </w:t>
                  </w:r>
                  <w:r>
                    <w:rPr>
                      <w:rFonts w:hint="eastAsia" w:ascii="Times New Roman" w:hAnsi="Times New Roman" w:eastAsia="宋体" w:cs="Times New Roman"/>
                      <w:b/>
                      <w:sz w:val="21"/>
                      <w:szCs w:val="21"/>
                    </w:rPr>
                    <w:t>监测期间</w:t>
                  </w:r>
                  <w:r>
                    <w:rPr>
                      <w:rFonts w:ascii="Times New Roman" w:hAnsi="Times New Roman" w:eastAsia="宋体" w:cs="Times New Roman"/>
                      <w:b/>
                      <w:sz w:val="21"/>
                      <w:szCs w:val="21"/>
                    </w:rPr>
                    <w:t>最大风速：</w:t>
                  </w:r>
                  <w:r>
                    <w:rPr>
                      <w:rFonts w:hint="eastAsia" w:ascii="Times New Roman" w:hAnsi="Times New Roman" w:eastAsia="宋体" w:cs="Times New Roman"/>
                      <w:b/>
                      <w:sz w:val="21"/>
                      <w:szCs w:val="21"/>
                    </w:rPr>
                    <w:t>1.2</w:t>
                  </w:r>
                  <w:r>
                    <w:rPr>
                      <w:rFonts w:ascii="Times New Roman" w:hAnsi="Times New Roman" w:eastAsia="宋体" w:cs="Times New Roman"/>
                      <w:b/>
                      <w:sz w:val="21"/>
                      <w:szCs w:val="21"/>
                    </w:rPr>
                    <w:t>m/s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7" w:type="dxa"/>
                  <w:vMerge w:val="restart"/>
                  <w:tcBorders>
                    <w:tl2br w:val="nil"/>
                    <w:tr2bl w:val="nil"/>
                  </w:tcBorders>
                  <w:vAlign w:val="center"/>
                </w:tcPr>
                <w:p>
                  <w:pPr>
                    <w:tabs>
                      <w:tab w:val="left" w:pos="6030"/>
                    </w:tabs>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测点编号</w:t>
                  </w:r>
                </w:p>
              </w:tc>
              <w:tc>
                <w:tcPr>
                  <w:tcW w:w="1004" w:type="dxa"/>
                  <w:vMerge w:val="restart"/>
                  <w:tcBorders>
                    <w:tl2br w:val="nil"/>
                    <w:tr2bl w:val="nil"/>
                  </w:tcBorders>
                  <w:vAlign w:val="center"/>
                </w:tcPr>
                <w:p>
                  <w:pPr>
                    <w:tabs>
                      <w:tab w:val="left" w:pos="6030"/>
                    </w:tabs>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监测点位置</w:t>
                  </w:r>
                </w:p>
              </w:tc>
              <w:tc>
                <w:tcPr>
                  <w:tcW w:w="1365" w:type="dxa"/>
                  <w:vMerge w:val="restart"/>
                  <w:tcBorders>
                    <w:tl2br w:val="nil"/>
                    <w:tr2bl w:val="nil"/>
                  </w:tcBorders>
                  <w:vAlign w:val="center"/>
                </w:tcPr>
                <w:p>
                  <w:pPr>
                    <w:tabs>
                      <w:tab w:val="left" w:pos="6030"/>
                    </w:tabs>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主要声源</w:t>
                  </w:r>
                </w:p>
              </w:tc>
              <w:tc>
                <w:tcPr>
                  <w:tcW w:w="2431" w:type="dxa"/>
                  <w:gridSpan w:val="2"/>
                  <w:tcBorders>
                    <w:tl2br w:val="nil"/>
                    <w:tr2bl w:val="nil"/>
                  </w:tcBorders>
                  <w:vAlign w:val="center"/>
                </w:tcPr>
                <w:p>
                  <w:pPr>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昼间</w:t>
                  </w:r>
                </w:p>
              </w:tc>
              <w:tc>
                <w:tcPr>
                  <w:tcW w:w="2431" w:type="dxa"/>
                  <w:gridSpan w:val="2"/>
                  <w:tcBorders>
                    <w:tl2br w:val="nil"/>
                    <w:tr2bl w:val="nil"/>
                  </w:tcBorders>
                  <w:vAlign w:val="center"/>
                </w:tcPr>
                <w:p>
                  <w:pPr>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7" w:type="dxa"/>
                  <w:vMerge w:val="continue"/>
                  <w:tcBorders>
                    <w:tl2br w:val="nil"/>
                    <w:tr2bl w:val="nil"/>
                  </w:tcBorders>
                  <w:vAlign w:val="center"/>
                </w:tcPr>
                <w:p>
                  <w:pPr>
                    <w:widowControl/>
                    <w:adjustRightInd/>
                    <w:spacing w:line="240" w:lineRule="auto"/>
                    <w:textAlignment w:val="auto"/>
                    <w:rPr>
                      <w:rFonts w:ascii="Times New Roman" w:hAnsi="Times New Roman" w:eastAsia="宋体" w:cs="Times New Roman"/>
                      <w:b/>
                      <w:bCs/>
                      <w:sz w:val="28"/>
                    </w:rPr>
                  </w:pPr>
                </w:p>
              </w:tc>
              <w:tc>
                <w:tcPr>
                  <w:tcW w:w="1004" w:type="dxa"/>
                  <w:vMerge w:val="continue"/>
                  <w:tcBorders>
                    <w:tl2br w:val="nil"/>
                    <w:tr2bl w:val="nil"/>
                  </w:tcBorders>
                  <w:vAlign w:val="center"/>
                </w:tcPr>
                <w:p>
                  <w:pPr>
                    <w:widowControl/>
                    <w:adjustRightInd/>
                    <w:spacing w:line="240" w:lineRule="auto"/>
                    <w:textAlignment w:val="auto"/>
                    <w:rPr>
                      <w:rFonts w:ascii="Times New Roman" w:hAnsi="Times New Roman" w:eastAsia="宋体" w:cs="Times New Roman"/>
                      <w:b/>
                      <w:bCs/>
                      <w:sz w:val="28"/>
                    </w:rPr>
                  </w:pPr>
                </w:p>
              </w:tc>
              <w:tc>
                <w:tcPr>
                  <w:tcW w:w="1365" w:type="dxa"/>
                  <w:vMerge w:val="continue"/>
                  <w:tcBorders>
                    <w:tl2br w:val="nil"/>
                    <w:tr2bl w:val="nil"/>
                  </w:tcBorders>
                  <w:vAlign w:val="center"/>
                </w:tcPr>
                <w:p>
                  <w:pPr>
                    <w:widowControl/>
                    <w:adjustRightInd/>
                    <w:spacing w:line="240" w:lineRule="auto"/>
                    <w:textAlignment w:val="auto"/>
                    <w:rPr>
                      <w:rFonts w:ascii="Times New Roman" w:hAnsi="Times New Roman" w:eastAsia="宋体" w:cs="Times New Roman"/>
                      <w:b/>
                      <w:bCs/>
                      <w:sz w:val="28"/>
                    </w:rPr>
                  </w:pP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监测时间</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监测结果Leq</w:t>
                  </w:r>
                  <w:r>
                    <w:rPr>
                      <w:rFonts w:hint="eastAsia" w:ascii="Times New Roman" w:hAnsi="Times New Roman" w:eastAsia="宋体" w:cs="Times New Roman"/>
                      <w:b/>
                      <w:sz w:val="21"/>
                      <w:szCs w:val="21"/>
                    </w:rPr>
                    <w:t>[</w:t>
                  </w:r>
                  <w:r>
                    <w:rPr>
                      <w:rFonts w:ascii="Times New Roman" w:hAnsi="Times New Roman" w:eastAsia="宋体" w:cs="Times New Roman"/>
                      <w:b/>
                      <w:sz w:val="21"/>
                      <w:szCs w:val="21"/>
                    </w:rPr>
                    <w:t>dB(A)]</w:t>
                  </w: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监测时间</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监测结果Leq</w:t>
                  </w:r>
                  <w:r>
                    <w:rPr>
                      <w:rFonts w:hint="eastAsia" w:ascii="Times New Roman" w:hAnsi="Times New Roman" w:eastAsia="宋体" w:cs="Times New Roman"/>
                      <w:b/>
                      <w:sz w:val="21"/>
                      <w:szCs w:val="21"/>
                    </w:rPr>
                    <w:t>[</w:t>
                  </w:r>
                  <w:r>
                    <w:rPr>
                      <w:rFonts w:ascii="Times New Roman" w:hAnsi="Times New Roman" w:eastAsia="宋体" w:cs="Times New Roman"/>
                      <w:b/>
                      <w:sz w:val="21"/>
                      <w:szCs w:val="21"/>
                    </w:rPr>
                    <w:t>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7"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004"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厂界东</w:t>
                  </w:r>
                </w:p>
              </w:tc>
              <w:tc>
                <w:tcPr>
                  <w:tcW w:w="136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生产噪声</w:t>
                  </w: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10:25</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53.9</w:t>
                  </w: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22:05</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7"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004"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厂界南</w:t>
                  </w:r>
                </w:p>
              </w:tc>
              <w:tc>
                <w:tcPr>
                  <w:tcW w:w="136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生产噪声</w:t>
                  </w: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10:09</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b/>
                      <w:bCs/>
                      <w:sz w:val="21"/>
                      <w:szCs w:val="21"/>
                    </w:rPr>
                    <w:t>57.5</w:t>
                  </w: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22:40</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b/>
                      <w:bCs/>
                      <w:sz w:val="21"/>
                      <w:szCs w:val="21"/>
                    </w:rPr>
                    <w:t>47.3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7"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004"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厂界西</w:t>
                  </w:r>
                </w:p>
              </w:tc>
              <w:tc>
                <w:tcPr>
                  <w:tcW w:w="136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生产噪声</w:t>
                  </w: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10:42</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53.4</w:t>
                  </w: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22:28</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7"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004"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厂界北</w:t>
                  </w:r>
                </w:p>
              </w:tc>
              <w:tc>
                <w:tcPr>
                  <w:tcW w:w="136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生产噪声</w:t>
                  </w: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09:53</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53.7</w:t>
                  </w:r>
                </w:p>
              </w:tc>
              <w:tc>
                <w:tcPr>
                  <w:tcW w:w="1155"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22:16</w:t>
                  </w:r>
                </w:p>
              </w:tc>
              <w:tc>
                <w:tcPr>
                  <w:tcW w:w="1276" w:type="dxa"/>
                  <w:tcBorders>
                    <w:tl2br w:val="nil"/>
                    <w:tr2bl w:val="nil"/>
                  </w:tcBorders>
                  <w:vAlign w:val="center"/>
                </w:tcPr>
                <w:p>
                  <w:pPr>
                    <w:tabs>
                      <w:tab w:val="left" w:pos="6045"/>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43.7</w:t>
                  </w:r>
                </w:p>
              </w:tc>
            </w:tr>
          </w:tbl>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验收检测结果表明：厂区四个厂界昼间噪声最大值为</w:t>
            </w:r>
            <w:r>
              <w:rPr>
                <w:rFonts w:hint="default" w:ascii="Times New Roman" w:hAnsi="Times New Roman" w:cs="Times New Roman"/>
                <w:color w:val="auto"/>
                <w:sz w:val="24"/>
                <w:szCs w:val="24"/>
                <w:lang w:val="en-US" w:eastAsia="zh-CN"/>
              </w:rPr>
              <w:t>5</w:t>
            </w:r>
            <w:r>
              <w:rPr>
                <w:rFonts w:hint="eastAsia" w:cs="Times New Roman"/>
                <w:color w:val="auto"/>
                <w:sz w:val="24"/>
                <w:szCs w:val="24"/>
                <w:lang w:val="en-US" w:eastAsia="zh-CN"/>
              </w:rPr>
              <w:t>7.5</w:t>
            </w:r>
            <w:r>
              <w:rPr>
                <w:rFonts w:hint="default" w:ascii="Times New Roman" w:hAnsi="Times New Roman" w:cs="Times New Roman"/>
                <w:b w:val="0"/>
                <w:bCs/>
                <w:sz w:val="24"/>
                <w:szCs w:val="24"/>
              </w:rPr>
              <w:t>dB(A)</w:t>
            </w:r>
            <w:r>
              <w:rPr>
                <w:rFonts w:hint="default" w:ascii="Times New Roman" w:hAnsi="Times New Roman" w:cs="Times New Roman"/>
                <w:color w:val="auto"/>
                <w:sz w:val="24"/>
                <w:szCs w:val="24"/>
                <w:lang w:eastAsia="zh-CN"/>
              </w:rPr>
              <w:t>，夜间</w:t>
            </w:r>
            <w:r>
              <w:rPr>
                <w:rFonts w:hint="eastAsia" w:cs="Times New Roman"/>
                <w:color w:val="auto"/>
                <w:sz w:val="24"/>
                <w:szCs w:val="24"/>
                <w:lang w:val="en-US" w:eastAsia="zh-CN"/>
              </w:rPr>
              <w:t>噪声最大值47.3</w:t>
            </w:r>
            <w:r>
              <w:rPr>
                <w:rFonts w:hint="default" w:ascii="Times New Roman" w:hAnsi="Times New Roman" w:cs="Times New Roman"/>
                <w:b w:val="0"/>
                <w:bCs/>
                <w:sz w:val="24"/>
                <w:szCs w:val="24"/>
              </w:rPr>
              <w:t>dB(A)</w:t>
            </w:r>
            <w:r>
              <w:rPr>
                <w:rFonts w:hint="default" w:ascii="Times New Roman" w:hAnsi="Times New Roman" w:cs="Times New Roman"/>
                <w:color w:val="auto"/>
                <w:sz w:val="24"/>
                <w:szCs w:val="24"/>
                <w:lang w:eastAsia="zh-CN"/>
              </w:rPr>
              <w:t>，满足《工业企业厂界环境噪声排放标准》（GB12348-2008）中2类标准要求。</w:t>
            </w:r>
          </w:p>
          <w:p>
            <w:pPr>
              <w:spacing w:line="360" w:lineRule="auto"/>
              <w:ind w:firstLine="482" w:firstLineChars="200"/>
              <w:jc w:val="both"/>
              <w:rPr>
                <w:rFonts w:hint="default" w:ascii="Times New Roman" w:hAnsi="Times New Roman" w:cs="Times New Roman"/>
                <w:b/>
                <w:color w:val="000000"/>
                <w:sz w:val="24"/>
              </w:rPr>
            </w:pPr>
            <w:r>
              <w:rPr>
                <w:rFonts w:hint="default" w:ascii="Times New Roman" w:hAnsi="Times New Roman" w:cs="Times New Roman"/>
                <w:b/>
                <w:bCs/>
                <w:color w:val="auto"/>
                <w:sz w:val="24"/>
                <w:szCs w:val="24"/>
                <w:lang w:eastAsia="zh-CN"/>
              </w:rPr>
              <w:t>9.2.1.</w:t>
            </w:r>
            <w:r>
              <w:rPr>
                <w:rFonts w:hint="eastAsia" w:cs="Times New Roman"/>
                <w:b/>
                <w:bCs/>
                <w:color w:val="auto"/>
                <w:sz w:val="24"/>
                <w:szCs w:val="24"/>
                <w:lang w:val="en-US" w:eastAsia="zh-CN"/>
              </w:rPr>
              <w:t>3</w:t>
            </w:r>
            <w:r>
              <w:rPr>
                <w:rFonts w:hint="default" w:ascii="Times New Roman" w:hAnsi="Times New Roman" w:cs="Times New Roman"/>
                <w:b/>
                <w:color w:val="000000"/>
                <w:sz w:val="24"/>
              </w:rPr>
              <w:t>废水</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验收检测期间，污水总排口检测结果见</w:t>
            </w:r>
            <w:r>
              <w:rPr>
                <w:rFonts w:hint="eastAsia" w:ascii="Times New Roman" w:hAnsi="Times New Roman" w:cs="Times New Roman"/>
                <w:color w:val="000000"/>
                <w:sz w:val="24"/>
                <w:lang w:val="en-US" w:eastAsia="zh-CN"/>
              </w:rPr>
              <w:t>下</w:t>
            </w:r>
            <w:r>
              <w:rPr>
                <w:rFonts w:hint="default" w:ascii="Times New Roman" w:hAnsi="Times New Roman" w:cs="Times New Roman"/>
                <w:color w:val="000000"/>
                <w:sz w:val="24"/>
              </w:rPr>
              <w:t>表。</w:t>
            </w:r>
          </w:p>
          <w:p>
            <w:pPr>
              <w:spacing w:line="240" w:lineRule="auto"/>
              <w:jc w:val="center"/>
              <w:rPr>
                <w:rFonts w:hint="default" w:ascii="Times New Roman" w:hAnsi="Times New Roman" w:cs="Times New Roman"/>
                <w:b/>
                <w:bCs/>
                <w:color w:val="000000"/>
                <w:sz w:val="24"/>
              </w:rPr>
            </w:pPr>
            <w:r>
              <w:rPr>
                <w:rFonts w:hint="default" w:ascii="Times New Roman" w:hAnsi="Times New Roman" w:cs="Times New Roman"/>
                <w:b/>
                <w:bCs/>
                <w:color w:val="000000"/>
                <w:sz w:val="24"/>
              </w:rPr>
              <w:t>表9-</w:t>
            </w:r>
            <w:r>
              <w:rPr>
                <w:rFonts w:hint="default" w:ascii="Times New Roman" w:hAnsi="Times New Roman" w:cs="Times New Roman"/>
                <w:b/>
                <w:bCs/>
                <w:color w:val="000000"/>
                <w:sz w:val="24"/>
                <w:lang w:val="en-US" w:eastAsia="zh-CN"/>
              </w:rPr>
              <w:t>5</w:t>
            </w:r>
            <w:r>
              <w:rPr>
                <w:rFonts w:hint="default" w:ascii="Times New Roman" w:hAnsi="Times New Roman" w:cs="Times New Roman"/>
                <w:b/>
                <w:bCs/>
                <w:color w:val="000000"/>
                <w:sz w:val="24"/>
              </w:rPr>
              <w:t xml:space="preserve">  污水总排口废水检测结果    单位：mg/L</w:t>
            </w:r>
          </w:p>
          <w:tbl>
            <w:tblPr>
              <w:tblStyle w:val="1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703"/>
              <w:gridCol w:w="1770"/>
              <w:gridCol w:w="1214"/>
              <w:gridCol w:w="1214"/>
              <w:gridCol w:w="1210"/>
              <w:gridCol w:w="1217"/>
              <w:gridCol w:w="9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rFonts w:hint="eastAsia"/>
                      <w:b/>
                      <w:color w:val="000000"/>
                      <w:sz w:val="21"/>
                      <w:szCs w:val="21"/>
                    </w:rPr>
                    <w:t>采样</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b/>
                      <w:color w:val="000000"/>
                      <w:sz w:val="21"/>
                      <w:szCs w:val="21"/>
                    </w:rPr>
                    <w:t>点位</w:t>
                  </w:r>
                </w:p>
              </w:tc>
              <w:tc>
                <w:tcPr>
                  <w:tcW w:w="391"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rFonts w:hint="eastAsia"/>
                      <w:b/>
                      <w:color w:val="000000"/>
                      <w:sz w:val="21"/>
                      <w:szCs w:val="21"/>
                    </w:rPr>
                    <w:t>监测</w:t>
                  </w:r>
                  <w:r>
                    <w:rPr>
                      <w:b/>
                      <w:color w:val="000000"/>
                      <w:sz w:val="21"/>
                      <w:szCs w:val="21"/>
                    </w:rPr>
                    <w:t>项目</w:t>
                  </w:r>
                </w:p>
              </w:tc>
              <w:tc>
                <w:tcPr>
                  <w:tcW w:w="984"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sz w:val="21"/>
                      <w:szCs w:val="21"/>
                    </w:rPr>
                  </w:pPr>
                  <w:r>
                    <w:rPr>
                      <w:rFonts w:hint="eastAsia"/>
                      <w:b/>
                      <w:sz w:val="21"/>
                      <w:szCs w:val="21"/>
                    </w:rPr>
                    <w:t>样品</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rFonts w:hint="eastAsia"/>
                      <w:b/>
                      <w:sz w:val="21"/>
                      <w:szCs w:val="21"/>
                    </w:rPr>
                    <w:t>编号</w:t>
                  </w:r>
                </w:p>
              </w:tc>
              <w:tc>
                <w:tcPr>
                  <w:tcW w:w="2696" w:type="pct"/>
                  <w:gridSpan w:val="4"/>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b/>
                      <w:color w:val="000000"/>
                      <w:sz w:val="21"/>
                      <w:szCs w:val="21"/>
                    </w:rPr>
                    <w:t>20</w:t>
                  </w:r>
                  <w:r>
                    <w:rPr>
                      <w:rFonts w:hint="eastAsia"/>
                      <w:b/>
                      <w:color w:val="000000"/>
                      <w:sz w:val="21"/>
                      <w:szCs w:val="21"/>
                    </w:rPr>
                    <w:t>23</w:t>
                  </w:r>
                  <w:r>
                    <w:rPr>
                      <w:b/>
                      <w:color w:val="000000"/>
                      <w:sz w:val="21"/>
                      <w:szCs w:val="21"/>
                    </w:rPr>
                    <w:t>年</w:t>
                  </w:r>
                  <w:r>
                    <w:rPr>
                      <w:rFonts w:hint="eastAsia"/>
                      <w:b/>
                      <w:color w:val="000000"/>
                      <w:sz w:val="21"/>
                      <w:szCs w:val="21"/>
                    </w:rPr>
                    <w:t>10</w:t>
                  </w:r>
                  <w:r>
                    <w:rPr>
                      <w:b/>
                      <w:color w:val="000000"/>
                      <w:sz w:val="21"/>
                      <w:szCs w:val="21"/>
                    </w:rPr>
                    <w:t>月</w:t>
                  </w:r>
                  <w:r>
                    <w:rPr>
                      <w:rFonts w:hint="eastAsia"/>
                      <w:b/>
                      <w:color w:val="000000"/>
                      <w:sz w:val="21"/>
                      <w:szCs w:val="21"/>
                    </w:rPr>
                    <w:t>12</w:t>
                  </w:r>
                  <w:r>
                    <w:rPr>
                      <w:b/>
                      <w:color w:val="000000"/>
                      <w:sz w:val="21"/>
                      <w:szCs w:val="21"/>
                    </w:rPr>
                    <w:t>日</w:t>
                  </w:r>
                  <w:r>
                    <w:rPr>
                      <w:rFonts w:hint="eastAsia"/>
                      <w:b/>
                      <w:color w:val="000000"/>
                      <w:sz w:val="21"/>
                      <w:szCs w:val="21"/>
                    </w:rPr>
                    <w:t>采样</w:t>
                  </w:r>
                  <w:r>
                    <w:rPr>
                      <w:b/>
                      <w:color w:val="000000"/>
                      <w:sz w:val="21"/>
                      <w:szCs w:val="21"/>
                    </w:rPr>
                    <w:t>监测结果</w:t>
                  </w:r>
                </w:p>
              </w:tc>
              <w:tc>
                <w:tcPr>
                  <w:tcW w:w="513"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rFonts w:hint="eastAsia"/>
                      <w:b/>
                      <w:color w:val="000000"/>
                      <w:sz w:val="21"/>
                      <w:szCs w:val="21"/>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color w:val="000000"/>
                      <w:sz w:val="21"/>
                      <w:szCs w:val="21"/>
                    </w:rPr>
                  </w:pPr>
                </w:p>
              </w:tc>
              <w:tc>
                <w:tcPr>
                  <w:tcW w:w="391"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color w:val="000000"/>
                      <w:sz w:val="21"/>
                      <w:szCs w:val="21"/>
                    </w:rPr>
                  </w:pPr>
                </w:p>
              </w:tc>
              <w:tc>
                <w:tcPr>
                  <w:tcW w:w="98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rFonts w:hint="eastAsia"/>
                      <w:b/>
                      <w:color w:val="000000"/>
                      <w:sz w:val="21"/>
                      <w:szCs w:val="21"/>
                    </w:rPr>
                    <w:t>频次</w:t>
                  </w:r>
                  <w:r>
                    <w:rPr>
                      <w:b/>
                      <w:color w:val="000000"/>
                      <w:sz w:val="21"/>
                      <w:szCs w:val="21"/>
                    </w:rPr>
                    <w:t>1</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rFonts w:hint="eastAsia"/>
                      <w:b/>
                      <w:color w:val="000000"/>
                      <w:sz w:val="21"/>
                      <w:szCs w:val="21"/>
                    </w:rPr>
                    <w:t>频次2</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rFonts w:hint="eastAsia"/>
                      <w:b/>
                      <w:color w:val="000000"/>
                      <w:sz w:val="21"/>
                      <w:szCs w:val="21"/>
                    </w:rPr>
                    <w:t>频次3</w:t>
                  </w:r>
                </w:p>
              </w:tc>
              <w:tc>
                <w:tcPr>
                  <w:tcW w:w="67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rFonts w:hint="eastAsia"/>
                      <w:b/>
                      <w:color w:val="000000"/>
                      <w:sz w:val="21"/>
                      <w:szCs w:val="21"/>
                    </w:rPr>
                    <w:t>频次4</w:t>
                  </w:r>
                </w:p>
              </w:tc>
              <w:tc>
                <w:tcPr>
                  <w:tcW w:w="513"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color w:val="000000"/>
                      <w:sz w:val="21"/>
                      <w:szCs w:val="21"/>
                    </w:rPr>
                  </w:pPr>
                  <w:r>
                    <w:rPr>
                      <w:rFonts w:hint="eastAsia"/>
                      <w:color w:val="000000"/>
                      <w:sz w:val="21"/>
                      <w:szCs w:val="21"/>
                    </w:rPr>
                    <w:t>污水总排口</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 w:val="21"/>
                      <w:szCs w:val="21"/>
                    </w:rPr>
                  </w:pPr>
                  <w:r>
                    <w:rPr>
                      <w:rFonts w:hint="eastAsia"/>
                      <w:bCs/>
                      <w:sz w:val="21"/>
                      <w:szCs w:val="21"/>
                    </w:rPr>
                    <w:t>pH值</w:t>
                  </w:r>
                </w:p>
              </w:tc>
              <w:tc>
                <w:tcPr>
                  <w:tcW w:w="98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SW2310031-</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SW2310034</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8.1</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（20.9℃）</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8.1</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（21.5℃）</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8.2</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(21.8℃)</w:t>
                  </w:r>
                </w:p>
              </w:tc>
              <w:tc>
                <w:tcPr>
                  <w:tcW w:w="67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8.2</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（21.4℃）</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rFonts w:hint="eastAsia"/>
                      <w:color w:val="000000"/>
                      <w:sz w:val="21"/>
                      <w:szCs w:val="21"/>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sz w:val="21"/>
                      <w:szCs w:val="21"/>
                    </w:rPr>
                  </w:pP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悬浮物</w:t>
                  </w:r>
                </w:p>
              </w:tc>
              <w:tc>
                <w:tcPr>
                  <w:tcW w:w="98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SW2310043-</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SW2310046</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42</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b/>
                      <w:bCs/>
                      <w:sz w:val="21"/>
                      <w:szCs w:val="21"/>
                    </w:rPr>
                    <w:t>51</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48</w:t>
                  </w:r>
                </w:p>
              </w:tc>
              <w:tc>
                <w:tcPr>
                  <w:tcW w:w="67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41</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rFonts w:hint="eastAsia"/>
                      <w:color w:val="00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sz w:val="21"/>
                      <w:szCs w:val="21"/>
                    </w:rPr>
                  </w:pP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 w:val="21"/>
                      <w:szCs w:val="21"/>
                    </w:rPr>
                  </w:pPr>
                  <w:r>
                    <w:rPr>
                      <w:rFonts w:hint="eastAsia"/>
                      <w:sz w:val="21"/>
                      <w:szCs w:val="21"/>
                    </w:rPr>
                    <w:t>生化需氧量</w:t>
                  </w:r>
                </w:p>
              </w:tc>
              <w:tc>
                <w:tcPr>
                  <w:tcW w:w="98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SW2310039-</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SW2310042</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b/>
                      <w:bCs/>
                      <w:sz w:val="21"/>
                      <w:szCs w:val="21"/>
                    </w:rPr>
                    <w:t>31.6</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29.0</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25.4</w:t>
                  </w:r>
                </w:p>
              </w:tc>
              <w:tc>
                <w:tcPr>
                  <w:tcW w:w="67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26.2</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rFonts w:hint="eastAsia"/>
                      <w:color w:val="00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sz w:val="21"/>
                      <w:szCs w:val="21"/>
                    </w:rPr>
                  </w:pP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化学需氧量</w:t>
                  </w:r>
                </w:p>
              </w:tc>
              <w:tc>
                <w:tcPr>
                  <w:tcW w:w="98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SW2310035-</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SW2310038</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highlight w:val="none"/>
                    </w:rPr>
                  </w:pPr>
                  <w:r>
                    <w:rPr>
                      <w:rFonts w:hint="eastAsia"/>
                      <w:b/>
                      <w:bCs/>
                      <w:sz w:val="21"/>
                      <w:szCs w:val="21"/>
                      <w:highlight w:val="none"/>
                    </w:rPr>
                    <w:t>48</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highlight w:val="none"/>
                    </w:rPr>
                  </w:pPr>
                  <w:r>
                    <w:rPr>
                      <w:rFonts w:hint="eastAsia"/>
                      <w:sz w:val="21"/>
                      <w:szCs w:val="21"/>
                      <w:highlight w:val="none"/>
                    </w:rPr>
                    <w:t>44</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highlight w:val="none"/>
                    </w:rPr>
                  </w:pPr>
                  <w:r>
                    <w:rPr>
                      <w:rFonts w:hint="eastAsia"/>
                      <w:sz w:val="21"/>
                      <w:szCs w:val="21"/>
                      <w:highlight w:val="none"/>
                    </w:rPr>
                    <w:t>36</w:t>
                  </w:r>
                </w:p>
              </w:tc>
              <w:tc>
                <w:tcPr>
                  <w:tcW w:w="67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highlight w:val="none"/>
                    </w:rPr>
                  </w:pPr>
                  <w:r>
                    <w:rPr>
                      <w:rFonts w:hint="eastAsia"/>
                      <w:sz w:val="21"/>
                      <w:szCs w:val="21"/>
                      <w:highlight w:val="none"/>
                    </w:rPr>
                    <w:t>41</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rFonts w:hint="eastAsia"/>
                      <w:color w:val="00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sz w:val="21"/>
                      <w:szCs w:val="21"/>
                    </w:rPr>
                  </w:pP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rPr>
                  </w:pPr>
                  <w:r>
                    <w:rPr>
                      <w:rFonts w:hint="eastAsia"/>
                      <w:sz w:val="21"/>
                      <w:szCs w:val="21"/>
                    </w:rPr>
                    <w:t>氨氮</w:t>
                  </w:r>
                </w:p>
              </w:tc>
              <w:tc>
                <w:tcPr>
                  <w:tcW w:w="98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SW2310047-</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SW2310050</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b/>
                      <w:bCs/>
                      <w:sz w:val="21"/>
                      <w:szCs w:val="21"/>
                    </w:rPr>
                    <w:t>3</w:t>
                  </w:r>
                  <w:r>
                    <w:rPr>
                      <w:rFonts w:hint="eastAsia"/>
                      <w:b/>
                      <w:bCs/>
                      <w:sz w:val="21"/>
                      <w:szCs w:val="21"/>
                      <w:lang w:val="en-US" w:eastAsia="zh-CN"/>
                    </w:rPr>
                    <w:t>4</w:t>
                  </w:r>
                  <w:r>
                    <w:rPr>
                      <w:rFonts w:hint="eastAsia"/>
                      <w:b/>
                      <w:bCs/>
                      <w:sz w:val="21"/>
                      <w:szCs w:val="21"/>
                    </w:rPr>
                    <w:t>.0</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25.8</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20.1</w:t>
                  </w:r>
                </w:p>
              </w:tc>
              <w:tc>
                <w:tcPr>
                  <w:tcW w:w="67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31.4</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rPr>
                  </w:pPr>
                  <w:r>
                    <w:rPr>
                      <w:rFonts w:hint="eastAsia"/>
                      <w:color w:val="00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rFonts w:hint="eastAsia"/>
                      <w:b/>
                      <w:color w:val="000000"/>
                      <w:sz w:val="21"/>
                      <w:szCs w:val="21"/>
                    </w:rPr>
                    <w:t>采样</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b/>
                      <w:color w:val="000000"/>
                      <w:sz w:val="21"/>
                      <w:szCs w:val="21"/>
                    </w:rPr>
                    <w:t>点位</w:t>
                  </w:r>
                </w:p>
              </w:tc>
              <w:tc>
                <w:tcPr>
                  <w:tcW w:w="391"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rFonts w:hint="eastAsia"/>
                      <w:b/>
                      <w:color w:val="000000"/>
                      <w:sz w:val="21"/>
                      <w:szCs w:val="21"/>
                    </w:rPr>
                    <w:t>监测</w:t>
                  </w:r>
                  <w:r>
                    <w:rPr>
                      <w:b/>
                      <w:color w:val="000000"/>
                      <w:sz w:val="21"/>
                      <w:szCs w:val="21"/>
                    </w:rPr>
                    <w:t>项目</w:t>
                  </w:r>
                </w:p>
              </w:tc>
              <w:tc>
                <w:tcPr>
                  <w:tcW w:w="984"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sz w:val="21"/>
                      <w:szCs w:val="21"/>
                    </w:rPr>
                  </w:pPr>
                  <w:r>
                    <w:rPr>
                      <w:rFonts w:hint="eastAsia"/>
                      <w:b/>
                      <w:sz w:val="21"/>
                      <w:szCs w:val="21"/>
                    </w:rPr>
                    <w:t>样品</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rFonts w:hint="eastAsia"/>
                      <w:b/>
                      <w:sz w:val="21"/>
                      <w:szCs w:val="21"/>
                    </w:rPr>
                    <w:t>编号</w:t>
                  </w:r>
                </w:p>
              </w:tc>
              <w:tc>
                <w:tcPr>
                  <w:tcW w:w="2696" w:type="pct"/>
                  <w:gridSpan w:val="4"/>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b/>
                      <w:color w:val="000000"/>
                      <w:sz w:val="21"/>
                      <w:szCs w:val="21"/>
                    </w:rPr>
                    <w:t>20</w:t>
                  </w:r>
                  <w:r>
                    <w:rPr>
                      <w:rFonts w:hint="eastAsia"/>
                      <w:b/>
                      <w:color w:val="000000"/>
                      <w:sz w:val="21"/>
                      <w:szCs w:val="21"/>
                    </w:rPr>
                    <w:t>23</w:t>
                  </w:r>
                  <w:r>
                    <w:rPr>
                      <w:b/>
                      <w:color w:val="000000"/>
                      <w:sz w:val="21"/>
                      <w:szCs w:val="21"/>
                    </w:rPr>
                    <w:t>年</w:t>
                  </w:r>
                  <w:r>
                    <w:rPr>
                      <w:rFonts w:hint="eastAsia"/>
                      <w:b/>
                      <w:color w:val="000000"/>
                      <w:sz w:val="21"/>
                      <w:szCs w:val="21"/>
                    </w:rPr>
                    <w:t>10</w:t>
                  </w:r>
                  <w:r>
                    <w:rPr>
                      <w:b/>
                      <w:color w:val="000000"/>
                      <w:sz w:val="21"/>
                      <w:szCs w:val="21"/>
                    </w:rPr>
                    <w:t>月</w:t>
                  </w:r>
                  <w:r>
                    <w:rPr>
                      <w:rFonts w:hint="eastAsia"/>
                      <w:b/>
                      <w:color w:val="000000"/>
                      <w:sz w:val="21"/>
                      <w:szCs w:val="21"/>
                    </w:rPr>
                    <w:t>13</w:t>
                  </w:r>
                  <w:r>
                    <w:rPr>
                      <w:b/>
                      <w:color w:val="000000"/>
                      <w:sz w:val="21"/>
                      <w:szCs w:val="21"/>
                    </w:rPr>
                    <w:t>日</w:t>
                  </w:r>
                  <w:r>
                    <w:rPr>
                      <w:rFonts w:hint="eastAsia"/>
                      <w:b/>
                      <w:color w:val="000000"/>
                      <w:sz w:val="21"/>
                      <w:szCs w:val="21"/>
                    </w:rPr>
                    <w:t>采样</w:t>
                  </w:r>
                  <w:r>
                    <w:rPr>
                      <w:b/>
                      <w:color w:val="000000"/>
                      <w:sz w:val="21"/>
                      <w:szCs w:val="21"/>
                    </w:rPr>
                    <w:t>监测结果</w:t>
                  </w:r>
                </w:p>
              </w:tc>
              <w:tc>
                <w:tcPr>
                  <w:tcW w:w="513"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rFonts w:hint="eastAsia"/>
                      <w:b/>
                      <w:color w:val="000000"/>
                      <w:sz w:val="21"/>
                      <w:szCs w:val="21"/>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color w:val="000000"/>
                      <w:sz w:val="21"/>
                      <w:szCs w:val="21"/>
                    </w:rPr>
                  </w:pPr>
                </w:p>
              </w:tc>
              <w:tc>
                <w:tcPr>
                  <w:tcW w:w="391"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color w:val="000000"/>
                      <w:sz w:val="21"/>
                      <w:szCs w:val="21"/>
                    </w:rPr>
                  </w:pPr>
                </w:p>
              </w:tc>
              <w:tc>
                <w:tcPr>
                  <w:tcW w:w="98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rFonts w:hint="eastAsia"/>
                      <w:b/>
                      <w:color w:val="000000"/>
                      <w:sz w:val="21"/>
                      <w:szCs w:val="21"/>
                    </w:rPr>
                    <w:t>频次</w:t>
                  </w:r>
                  <w:r>
                    <w:rPr>
                      <w:b/>
                      <w:color w:val="000000"/>
                      <w:sz w:val="21"/>
                      <w:szCs w:val="21"/>
                    </w:rPr>
                    <w:t>1</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rFonts w:hint="eastAsia"/>
                      <w:b/>
                      <w:color w:val="000000"/>
                      <w:sz w:val="21"/>
                      <w:szCs w:val="21"/>
                    </w:rPr>
                    <w:t>频次2</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rFonts w:hint="eastAsia"/>
                      <w:b/>
                      <w:color w:val="000000"/>
                      <w:sz w:val="21"/>
                      <w:szCs w:val="21"/>
                    </w:rPr>
                    <w:t>频次3</w:t>
                  </w:r>
                </w:p>
              </w:tc>
              <w:tc>
                <w:tcPr>
                  <w:tcW w:w="67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color w:val="000000"/>
                      <w:sz w:val="21"/>
                      <w:szCs w:val="21"/>
                    </w:rPr>
                  </w:pPr>
                  <w:r>
                    <w:rPr>
                      <w:rFonts w:hint="eastAsia"/>
                      <w:b/>
                      <w:color w:val="000000"/>
                      <w:sz w:val="21"/>
                      <w:szCs w:val="21"/>
                    </w:rPr>
                    <w:t>频次4</w:t>
                  </w:r>
                </w:p>
              </w:tc>
              <w:tc>
                <w:tcPr>
                  <w:tcW w:w="513"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restar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color w:val="000000"/>
                      <w:sz w:val="21"/>
                      <w:szCs w:val="21"/>
                    </w:rPr>
                  </w:pPr>
                  <w:r>
                    <w:rPr>
                      <w:rFonts w:hint="eastAsia"/>
                      <w:color w:val="000000"/>
                      <w:sz w:val="21"/>
                      <w:szCs w:val="21"/>
                    </w:rPr>
                    <w:t>污水总排口</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 w:val="21"/>
                      <w:szCs w:val="21"/>
                    </w:rPr>
                  </w:pPr>
                  <w:r>
                    <w:rPr>
                      <w:rFonts w:hint="eastAsia"/>
                      <w:bCs/>
                      <w:sz w:val="21"/>
                      <w:szCs w:val="21"/>
                    </w:rPr>
                    <w:t>pH值</w:t>
                  </w:r>
                </w:p>
              </w:tc>
              <w:tc>
                <w:tcPr>
                  <w:tcW w:w="98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SW2310051-</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SW2310054</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8.3</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（20.8℃）</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8.3</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（21.3℃）</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b/>
                      <w:bCs/>
                      <w:sz w:val="21"/>
                      <w:szCs w:val="21"/>
                    </w:rPr>
                  </w:pPr>
                  <w:r>
                    <w:rPr>
                      <w:rFonts w:hint="eastAsia"/>
                      <w:b/>
                      <w:bCs/>
                      <w:sz w:val="21"/>
                      <w:szCs w:val="21"/>
                    </w:rPr>
                    <w:t>8.4</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(21.5℃)</w:t>
                  </w:r>
                </w:p>
              </w:tc>
              <w:tc>
                <w:tcPr>
                  <w:tcW w:w="67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8.3</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（21.3℃）</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rFonts w:hint="eastAsia"/>
                      <w:color w:val="000000"/>
                      <w:sz w:val="21"/>
                      <w:szCs w:val="21"/>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sz w:val="21"/>
                      <w:szCs w:val="21"/>
                    </w:rPr>
                  </w:pP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悬浮物</w:t>
                  </w:r>
                </w:p>
              </w:tc>
              <w:tc>
                <w:tcPr>
                  <w:tcW w:w="98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SW2310063-</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SW2310066</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38</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b w:val="0"/>
                      <w:bCs w:val="0"/>
                      <w:sz w:val="21"/>
                      <w:szCs w:val="21"/>
                    </w:rPr>
                    <w:t>49</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31</w:t>
                  </w:r>
                </w:p>
              </w:tc>
              <w:tc>
                <w:tcPr>
                  <w:tcW w:w="67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36</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rFonts w:hint="eastAsia"/>
                      <w:color w:val="00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sz w:val="21"/>
                      <w:szCs w:val="21"/>
                    </w:rPr>
                  </w:pP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 w:val="21"/>
                      <w:szCs w:val="21"/>
                    </w:rPr>
                  </w:pPr>
                  <w:r>
                    <w:rPr>
                      <w:rFonts w:hint="eastAsia"/>
                      <w:sz w:val="21"/>
                      <w:szCs w:val="21"/>
                    </w:rPr>
                    <w:t>生化需氧量</w:t>
                  </w:r>
                </w:p>
              </w:tc>
              <w:tc>
                <w:tcPr>
                  <w:tcW w:w="98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SW2310059-</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SW2310062</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21.7</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24.4</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26.0</w:t>
                  </w:r>
                </w:p>
              </w:tc>
              <w:tc>
                <w:tcPr>
                  <w:tcW w:w="67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b w:val="0"/>
                      <w:bCs w:val="0"/>
                      <w:sz w:val="21"/>
                      <w:szCs w:val="21"/>
                    </w:rPr>
                    <w:t>28.5</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rFonts w:hint="eastAsia"/>
                      <w:color w:val="00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sz w:val="21"/>
                      <w:szCs w:val="21"/>
                    </w:rPr>
                  </w:pP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化学需氧量</w:t>
                  </w:r>
                </w:p>
              </w:tc>
              <w:tc>
                <w:tcPr>
                  <w:tcW w:w="98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SW2310055-</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SW2310058</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32</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36</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40</w:t>
                  </w:r>
                </w:p>
              </w:tc>
              <w:tc>
                <w:tcPr>
                  <w:tcW w:w="67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b w:val="0"/>
                      <w:bCs w:val="0"/>
                      <w:sz w:val="21"/>
                      <w:szCs w:val="21"/>
                    </w:rPr>
                    <w:t>44</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sz w:val="21"/>
                      <w:szCs w:val="21"/>
                    </w:rPr>
                  </w:pPr>
                  <w:r>
                    <w:rPr>
                      <w:rFonts w:hint="eastAsia"/>
                      <w:color w:val="000000"/>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continue"/>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sz w:val="21"/>
                      <w:szCs w:val="21"/>
                    </w:rPr>
                  </w:pP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rPr>
                  </w:pPr>
                  <w:r>
                    <w:rPr>
                      <w:rFonts w:hint="eastAsia"/>
                      <w:sz w:val="21"/>
                      <w:szCs w:val="21"/>
                    </w:rPr>
                    <w:t>氨氮</w:t>
                  </w:r>
                </w:p>
              </w:tc>
              <w:tc>
                <w:tcPr>
                  <w:tcW w:w="98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SW2310067-</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SW2310070</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23.0</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18.6</w:t>
                  </w:r>
                </w:p>
              </w:tc>
              <w:tc>
                <w:tcPr>
                  <w:tcW w:w="673"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12.1</w:t>
                  </w:r>
                </w:p>
              </w:tc>
              <w:tc>
                <w:tcPr>
                  <w:tcW w:w="674" w:type="pct"/>
                  <w:tcBorders>
                    <w:tl2br w:val="nil"/>
                    <w:tr2bl w:val="nil"/>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b w:val="0"/>
                      <w:bCs w:val="0"/>
                      <w:sz w:val="21"/>
                      <w:szCs w:val="21"/>
                    </w:rPr>
                    <w:t>25.0</w:t>
                  </w:r>
                </w:p>
              </w:tc>
              <w:tc>
                <w:tcPr>
                  <w:tcW w:w="5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rPr>
                  </w:pPr>
                  <w:r>
                    <w:rPr>
                      <w:rFonts w:hint="eastAsia"/>
                      <w:color w:val="000000"/>
                      <w:sz w:val="21"/>
                      <w:szCs w:val="21"/>
                    </w:rPr>
                    <w:t>mg/L</w:t>
                  </w:r>
                </w:p>
              </w:tc>
            </w:tr>
          </w:tbl>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sz w:val="24"/>
                <w:szCs w:val="24"/>
                <w:lang w:val="en-US" w:eastAsia="zh-CN"/>
              </w:rPr>
            </w:pPr>
            <w:r>
              <w:rPr>
                <w:rFonts w:hint="default"/>
                <w:sz w:val="24"/>
                <w:szCs w:val="24"/>
                <w:lang w:val="en-US" w:eastAsia="zh-CN"/>
              </w:rPr>
              <w:t>监测结果表明：厂区污水总排口废水pH</w:t>
            </w:r>
            <w:r>
              <w:rPr>
                <w:rFonts w:hint="eastAsia"/>
                <w:sz w:val="24"/>
                <w:szCs w:val="24"/>
                <w:lang w:val="en-US" w:eastAsia="zh-CN"/>
              </w:rPr>
              <w:t>最大</w:t>
            </w:r>
            <w:r>
              <w:rPr>
                <w:rFonts w:hint="default"/>
                <w:sz w:val="24"/>
                <w:szCs w:val="24"/>
                <w:lang w:val="en-US" w:eastAsia="zh-CN"/>
              </w:rPr>
              <w:t>值为</w:t>
            </w:r>
            <w:r>
              <w:rPr>
                <w:rFonts w:hint="eastAsia"/>
                <w:sz w:val="24"/>
                <w:szCs w:val="24"/>
                <w:lang w:val="en-US" w:eastAsia="zh-CN"/>
              </w:rPr>
              <w:t>8.4</w:t>
            </w:r>
            <w:r>
              <w:rPr>
                <w:rFonts w:hint="default"/>
                <w:sz w:val="24"/>
                <w:szCs w:val="24"/>
                <w:lang w:val="en-US" w:eastAsia="zh-CN"/>
              </w:rPr>
              <w:t>（无量纲）、悬浮物</w:t>
            </w:r>
            <w:r>
              <w:rPr>
                <w:rFonts w:hint="eastAsia"/>
                <w:sz w:val="24"/>
                <w:szCs w:val="24"/>
                <w:lang w:val="en-US" w:eastAsia="zh-CN"/>
              </w:rPr>
              <w:t>排放浓度最大值为51</w:t>
            </w:r>
            <w:r>
              <w:rPr>
                <w:rFonts w:hint="default"/>
                <w:sz w:val="24"/>
                <w:szCs w:val="24"/>
                <w:lang w:val="en-US" w:eastAsia="zh-CN"/>
              </w:rPr>
              <w:t>mg/L、</w:t>
            </w:r>
            <w:r>
              <w:rPr>
                <w:rFonts w:hint="eastAsia"/>
                <w:sz w:val="24"/>
                <w:szCs w:val="24"/>
                <w:lang w:val="en-US" w:eastAsia="zh-CN"/>
              </w:rPr>
              <w:t>化学需氧量（</w:t>
            </w:r>
            <w:r>
              <w:rPr>
                <w:rFonts w:hint="default"/>
                <w:sz w:val="24"/>
                <w:szCs w:val="24"/>
                <w:lang w:val="en-US" w:eastAsia="zh-CN"/>
              </w:rPr>
              <w:t>CODcr</w:t>
            </w:r>
            <w:r>
              <w:rPr>
                <w:rFonts w:hint="eastAsia"/>
                <w:sz w:val="24"/>
                <w:szCs w:val="24"/>
                <w:lang w:val="en-US" w:eastAsia="zh-CN"/>
              </w:rPr>
              <w:t>）排放浓度最大值</w:t>
            </w:r>
            <w:r>
              <w:rPr>
                <w:rFonts w:hint="default"/>
                <w:sz w:val="24"/>
                <w:szCs w:val="24"/>
                <w:lang w:val="en-US" w:eastAsia="zh-CN"/>
              </w:rPr>
              <w:t>为</w:t>
            </w:r>
            <w:r>
              <w:rPr>
                <w:rFonts w:hint="eastAsia"/>
                <w:sz w:val="24"/>
                <w:szCs w:val="24"/>
                <w:lang w:val="en-US" w:eastAsia="zh-CN"/>
              </w:rPr>
              <w:t>48</w:t>
            </w:r>
            <w:r>
              <w:rPr>
                <w:rFonts w:hint="default"/>
                <w:sz w:val="24"/>
                <w:szCs w:val="24"/>
                <w:lang w:val="en-US" w:eastAsia="zh-CN"/>
              </w:rPr>
              <w:t>mg/L、</w:t>
            </w:r>
            <w:r>
              <w:rPr>
                <w:rFonts w:hint="eastAsia"/>
                <w:sz w:val="24"/>
                <w:szCs w:val="24"/>
                <w:lang w:val="en-US" w:eastAsia="zh-CN"/>
              </w:rPr>
              <w:t>生化需氧量（</w:t>
            </w:r>
            <w:r>
              <w:rPr>
                <w:rFonts w:hint="default"/>
                <w:sz w:val="24"/>
                <w:szCs w:val="24"/>
                <w:lang w:val="en-US" w:eastAsia="zh-CN"/>
              </w:rPr>
              <w:t>BOD</w:t>
            </w:r>
            <w:r>
              <w:rPr>
                <w:rFonts w:hint="default"/>
                <w:sz w:val="24"/>
                <w:szCs w:val="24"/>
                <w:vertAlign w:val="subscript"/>
                <w:lang w:val="en-US" w:eastAsia="zh-CN"/>
              </w:rPr>
              <w:t>5</w:t>
            </w:r>
            <w:r>
              <w:rPr>
                <w:rFonts w:hint="eastAsia"/>
                <w:sz w:val="24"/>
                <w:szCs w:val="24"/>
                <w:vertAlign w:val="baseline"/>
                <w:lang w:val="en-US" w:eastAsia="zh-CN"/>
              </w:rPr>
              <w:t>）</w:t>
            </w:r>
            <w:r>
              <w:rPr>
                <w:rFonts w:hint="eastAsia"/>
                <w:sz w:val="24"/>
                <w:szCs w:val="24"/>
                <w:lang w:val="en-US" w:eastAsia="zh-CN"/>
              </w:rPr>
              <w:t>排放浓度最大值</w:t>
            </w:r>
            <w:r>
              <w:rPr>
                <w:rFonts w:hint="default"/>
                <w:sz w:val="24"/>
                <w:szCs w:val="24"/>
                <w:lang w:val="en-US" w:eastAsia="zh-CN"/>
              </w:rPr>
              <w:t>为</w:t>
            </w:r>
            <w:r>
              <w:rPr>
                <w:rFonts w:hint="eastAsia"/>
                <w:sz w:val="24"/>
                <w:szCs w:val="24"/>
                <w:lang w:val="en-US" w:eastAsia="zh-CN"/>
              </w:rPr>
              <w:t>31.6</w:t>
            </w:r>
            <w:r>
              <w:rPr>
                <w:rFonts w:hint="default"/>
                <w:sz w:val="24"/>
                <w:szCs w:val="24"/>
                <w:lang w:val="en-US" w:eastAsia="zh-CN"/>
              </w:rPr>
              <w:t>mg/L、氨氮</w:t>
            </w:r>
            <w:r>
              <w:rPr>
                <w:rFonts w:hint="eastAsia"/>
                <w:sz w:val="24"/>
                <w:szCs w:val="24"/>
                <w:lang w:val="en-US" w:eastAsia="zh-CN"/>
              </w:rPr>
              <w:t>排放浓度最大值</w:t>
            </w:r>
            <w:r>
              <w:rPr>
                <w:rFonts w:hint="default"/>
                <w:sz w:val="24"/>
                <w:szCs w:val="24"/>
                <w:lang w:val="en-US" w:eastAsia="zh-CN"/>
              </w:rPr>
              <w:t>为</w:t>
            </w:r>
            <w:r>
              <w:rPr>
                <w:rFonts w:hint="eastAsia"/>
                <w:sz w:val="24"/>
                <w:szCs w:val="24"/>
                <w:lang w:val="en-US" w:eastAsia="zh-CN"/>
              </w:rPr>
              <w:t>34</w:t>
            </w:r>
            <w:r>
              <w:rPr>
                <w:rFonts w:hint="default"/>
                <w:sz w:val="24"/>
                <w:szCs w:val="24"/>
                <w:lang w:val="en-US" w:eastAsia="zh-CN"/>
              </w:rPr>
              <w:t>mg/L，</w:t>
            </w:r>
            <w:r>
              <w:rPr>
                <w:rFonts w:hint="eastAsia"/>
                <w:sz w:val="24"/>
                <w:szCs w:val="24"/>
                <w:lang w:val="en-US" w:eastAsia="zh-CN"/>
              </w:rPr>
              <w:t>废水中各污染物排放浓度</w:t>
            </w:r>
            <w:r>
              <w:rPr>
                <w:rFonts w:hint="default"/>
                <w:sz w:val="24"/>
                <w:szCs w:val="24"/>
                <w:lang w:val="en-US" w:eastAsia="zh-CN"/>
              </w:rPr>
              <w:t>能够</w:t>
            </w:r>
            <w:r>
              <w:rPr>
                <w:rFonts w:hint="eastAsia"/>
                <w:sz w:val="24"/>
                <w:szCs w:val="24"/>
                <w:lang w:val="en-US" w:eastAsia="zh-CN"/>
              </w:rPr>
              <w:t>满足</w:t>
            </w:r>
            <w:r>
              <w:rPr>
                <w:rFonts w:hint="default"/>
                <w:sz w:val="24"/>
                <w:szCs w:val="24"/>
                <w:lang w:val="en-US" w:eastAsia="zh-CN"/>
              </w:rPr>
              <w:t>《污水综合排放标准》（GB8978-1996）表4中三级标准及齐城污水处理厂进水水质要求。</w:t>
            </w:r>
          </w:p>
          <w:p>
            <w:pPr>
              <w:spacing w:line="360" w:lineRule="auto"/>
              <w:ind w:firstLine="482" w:firstLineChars="200"/>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9.2.1.</w:t>
            </w:r>
            <w:r>
              <w:rPr>
                <w:rFonts w:hint="eastAsia" w:cs="Times New Roman"/>
                <w:b/>
                <w:bCs/>
                <w:color w:val="auto"/>
                <w:sz w:val="24"/>
                <w:szCs w:val="24"/>
                <w:lang w:val="en-US" w:eastAsia="zh-CN"/>
              </w:rPr>
              <w:t>4</w:t>
            </w:r>
            <w:r>
              <w:rPr>
                <w:rFonts w:hint="default" w:ascii="Times New Roman" w:hAnsi="Times New Roman" w:cs="Times New Roman"/>
                <w:b/>
                <w:bCs/>
                <w:color w:val="auto"/>
                <w:sz w:val="24"/>
                <w:szCs w:val="24"/>
                <w:lang w:eastAsia="zh-CN"/>
              </w:rPr>
              <w:t>固体废物</w:t>
            </w:r>
          </w:p>
          <w:p>
            <w:pPr>
              <w:pStyle w:val="26"/>
              <w:keepNext w:val="0"/>
              <w:keepLines w:val="0"/>
              <w:pageBreakBefore w:val="0"/>
              <w:widowControl w:val="0"/>
              <w:kinsoku/>
              <w:wordWrap w:val="0"/>
              <w:overflowPunct/>
              <w:topLinePunct w:val="0"/>
              <w:autoSpaceDE w:val="0"/>
              <w:autoSpaceDN w:val="0"/>
              <w:bidi w:val="0"/>
              <w:adjustRightInd/>
              <w:snapToGrid/>
              <w:spacing w:before="0" w:after="0" w:line="360" w:lineRule="auto"/>
              <w:ind w:firstLine="480" w:firstLineChars="200"/>
              <w:jc w:val="both"/>
              <w:textAlignment w:val="auto"/>
              <w:outlineLvl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本次验收未对厂区固体废物进行监测。</w:t>
            </w:r>
          </w:p>
          <w:p>
            <w:pPr>
              <w:spacing w:line="360" w:lineRule="auto"/>
              <w:ind w:firstLine="482" w:firstLineChars="200"/>
              <w:jc w:val="both"/>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9.2.1.</w:t>
            </w:r>
            <w:r>
              <w:rPr>
                <w:rFonts w:hint="eastAsia"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lang w:eastAsia="zh-CN"/>
              </w:rPr>
              <w:t>污染物排放总量核算</w:t>
            </w:r>
          </w:p>
          <w:p>
            <w:pPr>
              <w:spacing w:line="360" w:lineRule="auto"/>
              <w:ind w:firstLine="480" w:firstLineChars="200"/>
              <w:jc w:val="both"/>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根据本项目于2023年8月25日取得的淄博市生态环境局临淄分局制总量批复文件《临淄区建设项目污染物总量确认书》（编号：LZZL【2023】045号），本项目总量控制指标为VOCs 0.167t/a、COD0.33t/a（内控）、氨氮0.024t/a（内控）；本项目建成后，全厂总量控制指标为COD9.57/a（内控）、氨氮0.944t/a（内控）、VOCs 5.107t/a。</w:t>
            </w:r>
          </w:p>
          <w:p>
            <w:pPr>
              <w:pStyle w:val="26"/>
              <w:spacing w:before="0" w:beforeAutospacing="0" w:after="0" w:afterAutospacing="0" w:line="360" w:lineRule="auto"/>
              <w:ind w:firstLine="480" w:firstLineChars="200"/>
              <w:outlineLvl w:val="0"/>
              <w:rPr>
                <w:rFonts w:hint="default" w:ascii="Times New Roman" w:hAnsi="Times New Roman" w:cs="Times New Roman"/>
              </w:rPr>
            </w:pPr>
            <w:bookmarkStart w:id="2" w:name="_Toc24464"/>
            <w:bookmarkStart w:id="3" w:name="_Toc15129"/>
            <w:bookmarkStart w:id="4" w:name="_Toc29995"/>
            <w:bookmarkStart w:id="5" w:name="_Toc17348"/>
            <w:r>
              <w:rPr>
                <w:rFonts w:hint="eastAsia" w:ascii="Times New Roman" w:hAnsi="Times New Roman" w:cs="Times New Roman"/>
                <w:lang w:val="en-US" w:eastAsia="zh-CN"/>
              </w:rPr>
              <w:t>1）</w:t>
            </w:r>
            <w:r>
              <w:rPr>
                <w:rFonts w:hint="default" w:ascii="Times New Roman" w:hAnsi="Times New Roman" w:cs="Times New Roman"/>
              </w:rPr>
              <w:t>废气</w:t>
            </w:r>
          </w:p>
          <w:p>
            <w:pPr>
              <w:pStyle w:val="26"/>
              <w:spacing w:before="0" w:beforeAutospacing="0" w:after="0" w:afterAutospacing="0" w:line="360" w:lineRule="auto"/>
              <w:ind w:firstLine="480" w:firstLineChars="200"/>
              <w:outlineLvl w:val="0"/>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根据建设单位提供资料，验收检测时医药包装产业基地项目（一期）和本项目均在运行，本项目与医药包装产业基地项目（一期）中“输液用多功能组合盖、接口”共用1#二级活性炭吸附装置和DA001排气筒；经过现场勘察，本项目和医药包装产业基地项目（一期）所用的收集管道之间无截止阀，无法单独核算本项目VOCs的排放量，现通过核算本项目建成后全厂废气排放量进行评价。</w:t>
            </w:r>
          </w:p>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①</w:t>
            </w:r>
            <w:r>
              <w:rPr>
                <w:rFonts w:hint="eastAsia" w:ascii="Times New Roman" w:hAnsi="Times New Roman" w:eastAsia="宋体" w:cs="Times New Roman"/>
                <w:sz w:val="24"/>
                <w:szCs w:val="24"/>
                <w:highlight w:val="none"/>
                <w:lang w:val="en-US" w:eastAsia="zh-CN"/>
              </w:rPr>
              <w:t>DA001</w:t>
            </w:r>
          </w:p>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color w:val="000000"/>
                <w:sz w:val="24"/>
                <w:szCs w:val="24"/>
                <w:highlight w:val="yellow"/>
                <w:lang w:val="en-US" w:eastAsia="zh-CN"/>
              </w:rPr>
            </w:pPr>
            <w:r>
              <w:rPr>
                <w:rFonts w:hint="eastAsia" w:ascii="Times New Roman" w:hAnsi="Times New Roman" w:eastAsia="宋体" w:cs="Times New Roman"/>
                <w:sz w:val="24"/>
                <w:szCs w:val="24"/>
                <w:highlight w:val="none"/>
                <w:lang w:val="en-US" w:eastAsia="zh-CN"/>
              </w:rPr>
              <w:t>2023年10月监测期间医药包装产业基地项目（一期）和本项目均在运行，医药包装产业基地项目（一期）和本项目年工作时间分别为2640h和7920h。</w:t>
            </w:r>
            <w:r>
              <w:rPr>
                <w:rFonts w:hint="default" w:ascii="Times New Roman" w:hAnsi="Times New Roman" w:eastAsia="宋体" w:cs="Times New Roman"/>
                <w:sz w:val="24"/>
                <w:szCs w:val="24"/>
              </w:rPr>
              <w:t>根据</w:t>
            </w:r>
            <w:r>
              <w:rPr>
                <w:rFonts w:hint="eastAsia" w:ascii="Times New Roman" w:hAnsi="Times New Roman" w:eastAsia="宋体" w:cs="Times New Roman"/>
                <w:sz w:val="24"/>
                <w:szCs w:val="24"/>
                <w:lang w:val="en-US" w:eastAsia="zh-CN"/>
              </w:rPr>
              <w:t>本次</w:t>
            </w:r>
            <w:r>
              <w:rPr>
                <w:rFonts w:hint="default" w:ascii="Times New Roman" w:hAnsi="Times New Roman" w:eastAsia="宋体" w:cs="Times New Roman"/>
                <w:sz w:val="24"/>
                <w:szCs w:val="24"/>
              </w:rPr>
              <w:t>验收检测数据，</w:t>
            </w:r>
            <w:r>
              <w:rPr>
                <w:rFonts w:hint="eastAsia" w:ascii="Times New Roman" w:hAnsi="Times New Roman" w:eastAsia="宋体" w:cs="Times New Roman"/>
                <w:sz w:val="24"/>
                <w:szCs w:val="24"/>
                <w:lang w:val="en-US" w:eastAsia="zh-CN"/>
              </w:rPr>
              <w:t>本项目建成后DA001排气筒</w:t>
            </w:r>
            <w:r>
              <w:rPr>
                <w:rFonts w:hint="default" w:ascii="Times New Roman" w:hAnsi="Times New Roman" w:eastAsia="宋体" w:cs="Times New Roman"/>
                <w:color w:val="000000"/>
                <w:sz w:val="24"/>
                <w:szCs w:val="24"/>
              </w:rPr>
              <w:t>VOCs</w:t>
            </w:r>
            <w:r>
              <w:rPr>
                <w:rFonts w:hint="eastAsia" w:ascii="Times New Roman" w:hAnsi="Times New Roman" w:eastAsia="宋体" w:cs="Times New Roman"/>
                <w:color w:val="000000"/>
                <w:sz w:val="24"/>
                <w:szCs w:val="24"/>
                <w:lang w:val="en-US" w:eastAsia="zh-CN"/>
              </w:rPr>
              <w:t>最大排放速率为0.077kg/h，年工作时间7920h计算，则DA001排气筒VOCs</w:t>
            </w:r>
            <w:r>
              <w:rPr>
                <w:rFonts w:hint="default" w:ascii="Times New Roman" w:hAnsi="Times New Roman" w:eastAsia="宋体" w:cs="Times New Roman"/>
                <w:color w:val="000000"/>
                <w:sz w:val="24"/>
                <w:szCs w:val="24"/>
              </w:rPr>
              <w:t>排放量</w:t>
            </w:r>
            <w:r>
              <w:rPr>
                <w:rFonts w:hint="eastAsia" w:ascii="Times New Roman" w:hAnsi="Times New Roman" w:eastAsia="宋体" w:cs="Times New Roman"/>
                <w:color w:val="000000"/>
                <w:sz w:val="24"/>
                <w:szCs w:val="24"/>
                <w:lang w:val="en-US" w:eastAsia="zh-CN"/>
              </w:rPr>
              <w:t>约</w:t>
            </w:r>
            <w:r>
              <w:rPr>
                <w:rFonts w:hint="default" w:ascii="Times New Roman" w:hAnsi="Times New Roman" w:eastAsia="宋体" w:cs="Times New Roman"/>
                <w:color w:val="000000"/>
                <w:sz w:val="24"/>
                <w:szCs w:val="24"/>
              </w:rPr>
              <w:t>为</w:t>
            </w:r>
            <w:r>
              <w:rPr>
                <w:rFonts w:hint="eastAsia" w:ascii="Times New Roman" w:hAnsi="Times New Roman" w:eastAsia="宋体" w:cs="Times New Roman"/>
                <w:color w:val="000000"/>
                <w:sz w:val="24"/>
                <w:szCs w:val="24"/>
                <w:lang w:val="en-US" w:eastAsia="zh-CN"/>
              </w:rPr>
              <w:t>0.610</w:t>
            </w:r>
            <w:r>
              <w:rPr>
                <w:rFonts w:hint="default" w:ascii="Times New Roman" w:hAnsi="Times New Roman" w:eastAsia="宋体" w:cs="Times New Roman"/>
                <w:color w:val="000000"/>
                <w:sz w:val="24"/>
                <w:szCs w:val="24"/>
              </w:rPr>
              <w:t>t/a</w:t>
            </w:r>
            <w:r>
              <w:rPr>
                <w:rFonts w:hint="eastAsia" w:ascii="Times New Roman" w:hAnsi="Times New Roman" w:eastAsia="宋体" w:cs="Times New Roman"/>
                <w:color w:val="000000"/>
                <w:sz w:val="24"/>
                <w:szCs w:val="24"/>
                <w:lang w:eastAsia="zh-CN"/>
              </w:rPr>
              <w:t>。</w:t>
            </w:r>
          </w:p>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②</w:t>
            </w:r>
            <w:r>
              <w:rPr>
                <w:rFonts w:hint="eastAsia" w:ascii="Times New Roman" w:hAnsi="Times New Roman" w:eastAsia="宋体" w:cs="Times New Roman"/>
                <w:color w:val="000000"/>
                <w:sz w:val="24"/>
                <w:szCs w:val="24"/>
                <w:lang w:val="en-US" w:eastAsia="zh-CN"/>
              </w:rPr>
              <w:t>DA002和DA003</w:t>
            </w:r>
          </w:p>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根据</w:t>
            </w:r>
            <w:r>
              <w:rPr>
                <w:rFonts w:hint="eastAsia" w:ascii="Times New Roman" w:hAnsi="Times New Roman" w:eastAsia="宋体"/>
                <w:sz w:val="24"/>
                <w:szCs w:val="24"/>
              </w:rPr>
              <w:t>2</w:t>
            </w:r>
            <w:r>
              <w:rPr>
                <w:rFonts w:ascii="Times New Roman" w:hAnsi="Times New Roman" w:eastAsia="宋体"/>
                <w:sz w:val="24"/>
                <w:szCs w:val="24"/>
              </w:rPr>
              <w:t>021</w:t>
            </w:r>
            <w:r>
              <w:rPr>
                <w:rFonts w:hint="eastAsia" w:ascii="Times New Roman" w:hAnsi="Times New Roman" w:eastAsia="宋体"/>
                <w:sz w:val="24"/>
                <w:szCs w:val="24"/>
              </w:rPr>
              <w:t>年7月1</w:t>
            </w:r>
            <w:r>
              <w:rPr>
                <w:rFonts w:ascii="Times New Roman" w:hAnsi="Times New Roman" w:eastAsia="宋体"/>
                <w:sz w:val="24"/>
                <w:szCs w:val="24"/>
              </w:rPr>
              <w:t>9</w:t>
            </w:r>
            <w:r>
              <w:rPr>
                <w:rFonts w:hint="eastAsia" w:ascii="Times New Roman" w:hAnsi="Times New Roman" w:eastAsia="宋体"/>
                <w:sz w:val="24"/>
                <w:szCs w:val="24"/>
              </w:rPr>
              <w:t>日山东永聚医药</w:t>
            </w:r>
            <w:r>
              <w:rPr>
                <w:rFonts w:hint="eastAsia" w:ascii="Times New Roman" w:hAnsi="Times New Roman" w:eastAsia="宋体"/>
                <w:sz w:val="24"/>
                <w:szCs w:val="24"/>
                <w:lang w:val="en-US" w:eastAsia="zh-CN"/>
              </w:rPr>
              <w:t>科技</w:t>
            </w:r>
            <w:r>
              <w:rPr>
                <w:rFonts w:hint="eastAsia" w:ascii="Times New Roman" w:hAnsi="Times New Roman" w:eastAsia="宋体"/>
                <w:sz w:val="24"/>
                <w:szCs w:val="24"/>
              </w:rPr>
              <w:t>有限公司医药包装产业基地项目（一期）竣工环境保护验收意见</w:t>
            </w:r>
            <w:r>
              <w:rPr>
                <w:rFonts w:hint="eastAsia" w:ascii="Times New Roman" w:hAnsi="Times New Roman" w:eastAsia="宋体" w:cs="Times New Roman"/>
                <w:color w:val="000000"/>
                <w:sz w:val="24"/>
                <w:szCs w:val="24"/>
                <w:highlight w:val="none"/>
                <w:lang w:val="en-US" w:eastAsia="zh-CN"/>
              </w:rPr>
              <w:t>，非PVC多层共挤复合膜排气筒（DA002）和新型药用食品用PET和PET瓶排气筒（DA003）排放量共0.574t/a。</w:t>
            </w:r>
          </w:p>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③</w:t>
            </w:r>
            <w:r>
              <w:rPr>
                <w:rFonts w:hint="eastAsia" w:ascii="Times New Roman" w:hAnsi="Times New Roman" w:eastAsia="宋体" w:cs="Times New Roman"/>
                <w:color w:val="000000"/>
                <w:sz w:val="24"/>
                <w:szCs w:val="24"/>
                <w:lang w:val="en-US" w:eastAsia="zh-CN"/>
              </w:rPr>
              <w:t>DA004</w:t>
            </w:r>
          </w:p>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根据2023年4月11日山东永聚医药科技有限公司医药包装产业基地技术升级改造项目竣工环境保护验收意见，DA004排气筒排放量为0.0602t/a。</w:t>
            </w:r>
          </w:p>
          <w:bookmarkEnd w:id="2"/>
          <w:bookmarkEnd w:id="3"/>
          <w:bookmarkEnd w:id="4"/>
          <w:bookmarkEnd w:id="5"/>
          <w:p>
            <w:pPr>
              <w:pStyle w:val="26"/>
              <w:spacing w:before="0" w:beforeAutospacing="0" w:after="0" w:afterAutospacing="0" w:line="240" w:lineRule="auto"/>
              <w:jc w:val="center"/>
              <w:outlineLvl w:val="0"/>
              <w:rPr>
                <w:rFonts w:hint="eastAsia" w:ascii="Times New Roman" w:hAnsi="Times New Roman" w:eastAsia="宋体" w:cs="Times New Roman"/>
                <w:b/>
                <w:bCs/>
                <w:color w:val="000000"/>
                <w:sz w:val="24"/>
                <w:lang w:val="en-US" w:eastAsia="zh-CN"/>
              </w:rPr>
            </w:pPr>
            <w:r>
              <w:rPr>
                <w:rFonts w:hint="eastAsia" w:ascii="Times New Roman" w:hAnsi="Times New Roman" w:eastAsia="宋体" w:cs="Times New Roman"/>
                <w:b/>
                <w:bCs/>
                <w:color w:val="000000"/>
                <w:sz w:val="24"/>
                <w:lang w:val="en-US" w:eastAsia="zh-CN"/>
              </w:rPr>
              <w:t>表9-6  本项目建成后全厂有组织VOCs排放情况统计表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2893"/>
              <w:gridCol w:w="29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tcBorders>
                    <w:tl2br w:val="nil"/>
                    <w:tr2bl w:val="nil"/>
                  </w:tcBorders>
                  <w:vAlign w:val="center"/>
                </w:tcPr>
                <w:p>
                  <w:pPr>
                    <w:pStyle w:val="26"/>
                    <w:spacing w:before="0" w:beforeAutospacing="0" w:after="0" w:afterAutospacing="0" w:line="240" w:lineRule="auto"/>
                    <w:jc w:val="center"/>
                    <w:outlineLvl w:val="0"/>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名称</w:t>
                  </w:r>
                </w:p>
              </w:tc>
              <w:tc>
                <w:tcPr>
                  <w:tcW w:w="2893" w:type="dxa"/>
                  <w:tcBorders>
                    <w:tl2br w:val="nil"/>
                    <w:tr2bl w:val="nil"/>
                  </w:tcBorders>
                  <w:vAlign w:val="center"/>
                </w:tcPr>
                <w:p>
                  <w:pPr>
                    <w:pStyle w:val="26"/>
                    <w:spacing w:before="0" w:beforeAutospacing="0" w:after="0" w:afterAutospacing="0" w:line="240" w:lineRule="auto"/>
                    <w:jc w:val="center"/>
                    <w:outlineLvl w:val="0"/>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排气筒名称</w:t>
                  </w:r>
                </w:p>
              </w:tc>
              <w:tc>
                <w:tcPr>
                  <w:tcW w:w="2957" w:type="dxa"/>
                  <w:tcBorders>
                    <w:tl2br w:val="nil"/>
                    <w:tr2bl w:val="nil"/>
                  </w:tcBorders>
                  <w:vAlign w:val="center"/>
                </w:tcPr>
                <w:p>
                  <w:pPr>
                    <w:pStyle w:val="26"/>
                    <w:spacing w:before="0" w:beforeAutospacing="0" w:after="0" w:afterAutospacing="0" w:line="240" w:lineRule="auto"/>
                    <w:jc w:val="center"/>
                    <w:outlineLvl w:val="0"/>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VOCs排放量（t/a）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tcBorders>
                    <w:tl2br w:val="nil"/>
                    <w:tr2bl w:val="nil"/>
                  </w:tcBorders>
                  <w:vAlign w:val="center"/>
                </w:tcPr>
                <w:p>
                  <w:pPr>
                    <w:pStyle w:val="26"/>
                    <w:spacing w:before="0" w:beforeAutospacing="0" w:after="0" w:afterAutospacing="0" w:line="240" w:lineRule="auto"/>
                    <w:jc w:val="center"/>
                    <w:outlineLvl w:val="0"/>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1</w:t>
                  </w:r>
                </w:p>
              </w:tc>
              <w:tc>
                <w:tcPr>
                  <w:tcW w:w="2893" w:type="dxa"/>
                  <w:tcBorders>
                    <w:tl2br w:val="nil"/>
                    <w:tr2bl w:val="nil"/>
                  </w:tcBorders>
                  <w:vAlign w:val="center"/>
                </w:tcPr>
                <w:p>
                  <w:pPr>
                    <w:pStyle w:val="26"/>
                    <w:spacing w:before="0" w:beforeAutospacing="0" w:after="0" w:afterAutospacing="0" w:line="240" w:lineRule="auto"/>
                    <w:jc w:val="center"/>
                    <w:outlineLvl w:val="0"/>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DA001</w:t>
                  </w:r>
                </w:p>
              </w:tc>
              <w:tc>
                <w:tcPr>
                  <w:tcW w:w="2957" w:type="dxa"/>
                  <w:tcBorders>
                    <w:tl2br w:val="nil"/>
                    <w:tr2bl w:val="nil"/>
                  </w:tcBorders>
                  <w:vAlign w:val="center"/>
                </w:tcPr>
                <w:p>
                  <w:pPr>
                    <w:pStyle w:val="26"/>
                    <w:spacing w:before="0" w:beforeAutospacing="0" w:after="0" w:afterAutospacing="0" w:line="240" w:lineRule="auto"/>
                    <w:jc w:val="center"/>
                    <w:outlineLvl w:val="0"/>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0.610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tcBorders>
                    <w:tl2br w:val="nil"/>
                    <w:tr2bl w:val="nil"/>
                  </w:tcBorders>
                  <w:vAlign w:val="center"/>
                </w:tcPr>
                <w:p>
                  <w:pPr>
                    <w:pStyle w:val="26"/>
                    <w:spacing w:before="0" w:beforeAutospacing="0" w:after="0" w:afterAutospacing="0" w:line="240" w:lineRule="auto"/>
                    <w:jc w:val="center"/>
                    <w:outlineLvl w:val="0"/>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2</w:t>
                  </w:r>
                </w:p>
              </w:tc>
              <w:tc>
                <w:tcPr>
                  <w:tcW w:w="2893" w:type="dxa"/>
                  <w:tcBorders>
                    <w:tl2br w:val="nil"/>
                    <w:tr2bl w:val="nil"/>
                  </w:tcBorders>
                  <w:vAlign w:val="center"/>
                </w:tcPr>
                <w:p>
                  <w:pPr>
                    <w:pStyle w:val="26"/>
                    <w:spacing w:before="0" w:beforeAutospacing="0" w:after="0" w:afterAutospacing="0" w:line="240" w:lineRule="auto"/>
                    <w:jc w:val="center"/>
                    <w:outlineLvl w:val="0"/>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DA002和DA003</w:t>
                  </w:r>
                </w:p>
              </w:tc>
              <w:tc>
                <w:tcPr>
                  <w:tcW w:w="2957" w:type="dxa"/>
                  <w:tcBorders>
                    <w:tl2br w:val="nil"/>
                    <w:tr2bl w:val="nil"/>
                  </w:tcBorders>
                  <w:vAlign w:val="center"/>
                </w:tcPr>
                <w:p>
                  <w:pPr>
                    <w:pStyle w:val="26"/>
                    <w:spacing w:before="0" w:beforeAutospacing="0" w:after="0" w:afterAutospacing="0" w:line="240" w:lineRule="auto"/>
                    <w:jc w:val="center"/>
                    <w:outlineLvl w:val="0"/>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0.574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tcBorders>
                    <w:tl2br w:val="nil"/>
                    <w:tr2bl w:val="nil"/>
                  </w:tcBorders>
                  <w:vAlign w:val="center"/>
                </w:tcPr>
                <w:p>
                  <w:pPr>
                    <w:pStyle w:val="26"/>
                    <w:spacing w:before="0" w:beforeAutospacing="0" w:after="0" w:afterAutospacing="0" w:line="240" w:lineRule="auto"/>
                    <w:jc w:val="center"/>
                    <w:outlineLvl w:val="0"/>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3</w:t>
                  </w:r>
                </w:p>
              </w:tc>
              <w:tc>
                <w:tcPr>
                  <w:tcW w:w="2893" w:type="dxa"/>
                  <w:tcBorders>
                    <w:tl2br w:val="nil"/>
                    <w:tr2bl w:val="nil"/>
                  </w:tcBorders>
                  <w:vAlign w:val="center"/>
                </w:tcPr>
                <w:p>
                  <w:pPr>
                    <w:pStyle w:val="26"/>
                    <w:spacing w:before="0" w:beforeAutospacing="0" w:after="0" w:afterAutospacing="0" w:line="240" w:lineRule="auto"/>
                    <w:jc w:val="center"/>
                    <w:outlineLvl w:val="0"/>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DA004</w:t>
                  </w:r>
                </w:p>
              </w:tc>
              <w:tc>
                <w:tcPr>
                  <w:tcW w:w="2957" w:type="dxa"/>
                  <w:tcBorders>
                    <w:tl2br w:val="nil"/>
                    <w:tr2bl w:val="nil"/>
                  </w:tcBorders>
                  <w:vAlign w:val="center"/>
                </w:tcPr>
                <w:p>
                  <w:pPr>
                    <w:pStyle w:val="26"/>
                    <w:spacing w:before="0" w:beforeAutospacing="0" w:after="0" w:afterAutospacing="0" w:line="240" w:lineRule="auto"/>
                    <w:jc w:val="center"/>
                    <w:outlineLvl w:val="0"/>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0.0602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tcBorders>
                    <w:tl2br w:val="nil"/>
                    <w:tr2bl w:val="nil"/>
                  </w:tcBorders>
                  <w:vAlign w:val="center"/>
                </w:tcPr>
                <w:p>
                  <w:pPr>
                    <w:pStyle w:val="26"/>
                    <w:spacing w:before="0" w:beforeAutospacing="0" w:after="0" w:afterAutospacing="0" w:line="240" w:lineRule="auto"/>
                    <w:jc w:val="center"/>
                    <w:outlineLvl w:val="0"/>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4</w:t>
                  </w:r>
                </w:p>
              </w:tc>
              <w:tc>
                <w:tcPr>
                  <w:tcW w:w="2893" w:type="dxa"/>
                  <w:tcBorders>
                    <w:tl2br w:val="nil"/>
                    <w:tr2bl w:val="nil"/>
                  </w:tcBorders>
                  <w:vAlign w:val="center"/>
                </w:tcPr>
                <w:p>
                  <w:pPr>
                    <w:pStyle w:val="26"/>
                    <w:spacing w:before="0" w:beforeAutospacing="0" w:after="0" w:afterAutospacing="0" w:line="240" w:lineRule="auto"/>
                    <w:jc w:val="center"/>
                    <w:outlineLvl w:val="0"/>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合计</w:t>
                  </w:r>
                </w:p>
              </w:tc>
              <w:tc>
                <w:tcPr>
                  <w:tcW w:w="2957" w:type="dxa"/>
                  <w:tcBorders>
                    <w:tl2br w:val="nil"/>
                    <w:tr2bl w:val="nil"/>
                  </w:tcBorders>
                  <w:vAlign w:val="center"/>
                </w:tcPr>
                <w:p>
                  <w:pPr>
                    <w:pStyle w:val="26"/>
                    <w:spacing w:before="0" w:beforeAutospacing="0" w:after="0" w:afterAutospacing="0" w:line="240" w:lineRule="auto"/>
                    <w:jc w:val="center"/>
                    <w:outlineLvl w:val="0"/>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1.2442</w:t>
                  </w:r>
                </w:p>
              </w:tc>
            </w:tr>
          </w:tbl>
          <w:p>
            <w:pPr>
              <w:pStyle w:val="26"/>
              <w:spacing w:before="0" w:beforeAutospacing="0" w:after="0" w:afterAutospacing="0" w:line="360" w:lineRule="auto"/>
              <w:ind w:firstLine="480" w:firstLineChars="200"/>
              <w:outlineLvl w:val="0"/>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综上所述，本项目建成后全厂有组织VOCs排放量约为1.2442t/a，满足本项目建成后全厂总量控制指标（VOCs 5.107t/a）要求。</w:t>
            </w:r>
          </w:p>
          <w:p>
            <w:pPr>
              <w:pStyle w:val="26"/>
              <w:spacing w:before="0" w:beforeAutospacing="0" w:after="0" w:afterAutospacing="0" w:line="360" w:lineRule="auto"/>
              <w:ind w:firstLine="480" w:firstLineChars="200"/>
              <w:outlineLvl w:val="0"/>
              <w:rPr>
                <w:rFonts w:hint="default" w:ascii="Times New Roman" w:hAnsi="Times New Roman" w:cs="Times New Roman"/>
              </w:rPr>
            </w:pPr>
            <w:bookmarkStart w:id="6" w:name="_Toc7691"/>
            <w:bookmarkStart w:id="7" w:name="_Toc23407"/>
            <w:bookmarkStart w:id="8" w:name="_Toc2621"/>
            <w:bookmarkStart w:id="9" w:name="_Toc16382"/>
            <w:r>
              <w:rPr>
                <w:rFonts w:hint="eastAsia" w:ascii="Times New Roman" w:hAnsi="Times New Roman" w:cs="Times New Roman"/>
                <w:lang w:val="en-US" w:eastAsia="zh-CN"/>
              </w:rPr>
              <w:t>2）</w:t>
            </w:r>
            <w:r>
              <w:rPr>
                <w:rFonts w:hint="default" w:ascii="Times New Roman" w:hAnsi="Times New Roman" w:cs="Times New Roman"/>
              </w:rPr>
              <w:t>废水</w:t>
            </w:r>
            <w:bookmarkEnd w:id="6"/>
            <w:bookmarkEnd w:id="7"/>
            <w:bookmarkEnd w:id="8"/>
            <w:bookmarkEnd w:id="9"/>
          </w:p>
          <w:p>
            <w:pPr>
              <w:pStyle w:val="26"/>
              <w:spacing w:before="0" w:beforeAutospacing="0" w:after="0" w:afterAutospacing="0" w:line="360" w:lineRule="auto"/>
              <w:ind w:firstLine="480" w:firstLineChars="200"/>
              <w:outlineLvl w:val="0"/>
              <w:rPr>
                <w:rFonts w:hint="default" w:ascii="Times New Roman" w:hAnsi="Times New Roman" w:cs="Times New Roman"/>
                <w:highlight w:val="none"/>
                <w:lang w:val="en-US" w:eastAsia="zh-CN"/>
              </w:rPr>
            </w:pPr>
            <w:r>
              <w:rPr>
                <w:rFonts w:hint="eastAsia" w:ascii="Times New Roman" w:hAnsi="Times New Roman" w:cs="Times New Roman"/>
                <w:lang w:val="en-US" w:eastAsia="zh-CN"/>
              </w:rPr>
              <w:t>根据验收监测数据，污水总排口COD、氨氮最大排放浓度为分别为48mg/L、34.0mg/L，本项目年污水处理量按660m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计，则本项目COD、氨氮实际排放量分别为0.0317t/a、0.0224t/a，满足本项目总量控制指标（COD0.33t/a（内控）、氨氮0.024t/a（内控））；本项目建成后全厂年污水处理量按27060m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计，</w:t>
            </w:r>
            <w:r>
              <w:rPr>
                <w:rFonts w:hint="eastAsia" w:ascii="Times New Roman" w:hAnsi="Times New Roman" w:cs="Times New Roman"/>
                <w:highlight w:val="none"/>
                <w:lang w:val="en-US" w:eastAsia="zh-CN"/>
              </w:rPr>
              <w:t>则全厂COD、氨氮实际排放量分别为1.30t/a、0.92t/a，满足本项目建成后全厂总量控制指标（</w:t>
            </w:r>
            <w:r>
              <w:rPr>
                <w:rFonts w:hint="eastAsia" w:ascii="Times New Roman" w:hAnsi="Times New Roman" w:cs="Times New Roman"/>
                <w:lang w:val="en-US" w:eastAsia="zh-CN"/>
              </w:rPr>
              <w:t>COD9.57t/a（内控）、氨氮0.944t/a（内控）</w:t>
            </w:r>
            <w:r>
              <w:rPr>
                <w:rFonts w:hint="eastAsia" w:ascii="Times New Roman" w:hAnsi="Times New Roman" w:cs="Times New Roman"/>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9.2.1.</w:t>
            </w:r>
            <w:r>
              <w:rPr>
                <w:rFonts w:hint="eastAsia" w:cs="Times New Roman"/>
                <w:b/>
                <w:bCs/>
                <w:color w:val="auto"/>
                <w:sz w:val="24"/>
                <w:szCs w:val="24"/>
                <w:lang w:val="en-US" w:eastAsia="zh-CN"/>
              </w:rPr>
              <w:t>6</w:t>
            </w:r>
            <w:r>
              <w:rPr>
                <w:rFonts w:hint="default" w:ascii="Times New Roman" w:hAnsi="Times New Roman" w:cs="Times New Roman"/>
                <w:b/>
                <w:bCs/>
                <w:color w:val="auto"/>
                <w:sz w:val="24"/>
                <w:szCs w:val="24"/>
                <w:lang w:val="en-US" w:eastAsia="zh-CN"/>
              </w:rPr>
              <w:t>环保设备处理效率核算</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bCs/>
                <w:sz w:val="24"/>
                <w:szCs w:val="24"/>
              </w:rPr>
            </w:pPr>
            <w:r>
              <w:rPr>
                <w:rFonts w:ascii="Times New Roman" w:hAnsi="Times New Roman" w:eastAsia="宋体" w:cs="Times New Roman"/>
                <w:b/>
                <w:bCs/>
                <w:spacing w:val="-6"/>
                <w:sz w:val="24"/>
                <w:szCs w:val="24"/>
              </w:rPr>
              <w:t xml:space="preserve">表 </w:t>
            </w:r>
            <w:r>
              <w:rPr>
                <w:rFonts w:hint="eastAsia" w:ascii="Times New Roman" w:hAnsi="Times New Roman" w:eastAsia="宋体" w:cs="Times New Roman"/>
                <w:b/>
                <w:bCs/>
                <w:spacing w:val="-6"/>
                <w:sz w:val="24"/>
                <w:szCs w:val="24"/>
                <w:lang w:val="en-US" w:eastAsia="zh-CN"/>
              </w:rPr>
              <w:t>9-</w:t>
            </w:r>
            <w:r>
              <w:rPr>
                <w:rFonts w:hint="eastAsia" w:cs="Times New Roman"/>
                <w:b/>
                <w:bCs/>
                <w:spacing w:val="-6"/>
                <w:sz w:val="24"/>
                <w:szCs w:val="24"/>
                <w:lang w:val="en-US" w:eastAsia="zh-CN"/>
              </w:rPr>
              <w:t>7</w:t>
            </w:r>
            <w:r>
              <w:rPr>
                <w:rFonts w:ascii="Times New Roman" w:hAnsi="Times New Roman" w:eastAsia="宋体" w:cs="Times New Roman"/>
                <w:b/>
                <w:bCs/>
                <w:spacing w:val="-3"/>
                <w:sz w:val="24"/>
                <w:szCs w:val="24"/>
              </w:rPr>
              <w:t xml:space="preserve">  环保设施去除效率一览表</w:t>
            </w:r>
          </w:p>
          <w:tbl>
            <w:tblPr>
              <w:tblStyle w:val="31"/>
              <w:tblW w:w="857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35"/>
              <w:gridCol w:w="1085"/>
              <w:gridCol w:w="1239"/>
              <w:gridCol w:w="2100"/>
              <w:gridCol w:w="2100"/>
              <w:gridCol w:w="131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宋体" w:hAnsi="宋体" w:eastAsia="宋体" w:cs="宋体"/>
                      <w:b/>
                      <w:bCs/>
                      <w:sz w:val="21"/>
                      <w:szCs w:val="21"/>
                    </w:rPr>
                  </w:pPr>
                  <w:r>
                    <w:rPr>
                      <w:rFonts w:ascii="宋体" w:hAnsi="宋体" w:eastAsia="宋体" w:cs="宋体"/>
                      <w:b/>
                      <w:bCs/>
                      <w:spacing w:val="-2"/>
                      <w:sz w:val="21"/>
                      <w:szCs w:val="21"/>
                    </w:rPr>
                    <w:t>序号</w:t>
                  </w: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宋体" w:hAnsi="宋体" w:eastAsia="宋体" w:cs="宋体"/>
                      <w:b/>
                      <w:bCs/>
                      <w:sz w:val="21"/>
                      <w:szCs w:val="21"/>
                    </w:rPr>
                  </w:pPr>
                  <w:r>
                    <w:rPr>
                      <w:rFonts w:ascii="宋体" w:hAnsi="宋体" w:eastAsia="宋体" w:cs="宋体"/>
                      <w:b/>
                      <w:bCs/>
                      <w:spacing w:val="-2"/>
                      <w:sz w:val="21"/>
                      <w:szCs w:val="21"/>
                    </w:rPr>
                    <w:t>检测点</w:t>
                  </w:r>
                  <w:r>
                    <w:rPr>
                      <w:rFonts w:ascii="宋体" w:hAnsi="宋体" w:eastAsia="宋体" w:cs="宋体"/>
                      <w:b/>
                      <w:bCs/>
                      <w:spacing w:val="-1"/>
                      <w:sz w:val="21"/>
                      <w:szCs w:val="21"/>
                    </w:rPr>
                    <w:t>位</w:t>
                  </w:r>
                </w:p>
              </w:tc>
              <w:tc>
                <w:tcPr>
                  <w:tcW w:w="12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宋体" w:hAnsi="宋体" w:eastAsia="宋体" w:cs="宋体"/>
                      <w:b/>
                      <w:bCs/>
                      <w:sz w:val="21"/>
                      <w:szCs w:val="21"/>
                    </w:rPr>
                  </w:pPr>
                  <w:r>
                    <w:rPr>
                      <w:rFonts w:ascii="宋体" w:hAnsi="宋体" w:eastAsia="宋体" w:cs="宋体"/>
                      <w:b/>
                      <w:bCs/>
                      <w:spacing w:val="-3"/>
                      <w:sz w:val="21"/>
                      <w:szCs w:val="21"/>
                    </w:rPr>
                    <w:t>类</w:t>
                  </w:r>
                  <w:r>
                    <w:rPr>
                      <w:rFonts w:ascii="宋体" w:hAnsi="宋体" w:eastAsia="宋体" w:cs="宋体"/>
                      <w:b/>
                      <w:bCs/>
                      <w:spacing w:val="-2"/>
                      <w:sz w:val="21"/>
                      <w:szCs w:val="21"/>
                    </w:rPr>
                    <w:t>别</w:t>
                  </w:r>
                </w:p>
              </w:tc>
              <w:tc>
                <w:tcPr>
                  <w:tcW w:w="2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sz w:val="21"/>
                      <w:szCs w:val="21"/>
                      <w:lang w:eastAsia="zh-CN"/>
                    </w:rPr>
                  </w:pPr>
                  <w:r>
                    <w:rPr>
                      <w:rFonts w:ascii="Times New Roman" w:hAnsi="Times New Roman" w:eastAsia="宋体" w:cs="Times New Roman"/>
                      <w:b/>
                      <w:bCs/>
                      <w:spacing w:val="-1"/>
                      <w:sz w:val="21"/>
                      <w:szCs w:val="21"/>
                    </w:rPr>
                    <w:t>进口平均排放</w:t>
                  </w:r>
                  <w:r>
                    <w:rPr>
                      <w:rFonts w:hint="eastAsia" w:ascii="Times New Roman" w:hAnsi="Times New Roman" w:eastAsia="宋体" w:cs="Times New Roman"/>
                      <w:b/>
                      <w:bCs/>
                      <w:spacing w:val="-1"/>
                      <w:sz w:val="21"/>
                      <w:szCs w:val="21"/>
                      <w:lang w:val="en-US" w:eastAsia="zh-CN"/>
                    </w:rPr>
                    <w:t>速率（kg/h）</w:t>
                  </w:r>
                </w:p>
              </w:tc>
              <w:tc>
                <w:tcPr>
                  <w:tcW w:w="2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pacing w:val="-6"/>
                      <w:sz w:val="21"/>
                      <w:szCs w:val="21"/>
                    </w:rPr>
                    <w:t>出口</w:t>
                  </w:r>
                  <w:r>
                    <w:rPr>
                      <w:rFonts w:ascii="Times New Roman" w:hAnsi="Times New Roman" w:eastAsia="宋体" w:cs="Times New Roman"/>
                      <w:b/>
                      <w:bCs/>
                      <w:spacing w:val="-3"/>
                      <w:sz w:val="21"/>
                      <w:szCs w:val="21"/>
                    </w:rPr>
                    <w:t>平均排放</w:t>
                  </w:r>
                  <w:r>
                    <w:rPr>
                      <w:rFonts w:hint="eastAsia" w:ascii="Times New Roman" w:hAnsi="Times New Roman" w:eastAsia="宋体" w:cs="Times New Roman"/>
                      <w:b/>
                      <w:bCs/>
                      <w:spacing w:val="-3"/>
                      <w:sz w:val="21"/>
                      <w:szCs w:val="21"/>
                      <w:lang w:val="en-US" w:eastAsia="zh-CN"/>
                    </w:rPr>
                    <w:t>速率</w:t>
                  </w:r>
                  <w:r>
                    <w:rPr>
                      <w:rFonts w:hint="eastAsia" w:ascii="Times New Roman" w:hAnsi="Times New Roman" w:eastAsia="宋体" w:cs="Times New Roman"/>
                      <w:b/>
                      <w:bCs/>
                      <w:spacing w:val="-1"/>
                      <w:sz w:val="21"/>
                      <w:szCs w:val="21"/>
                      <w:lang w:val="en-US" w:eastAsia="zh-CN"/>
                    </w:rPr>
                    <w:t>（kg/h）</w:t>
                  </w:r>
                </w:p>
              </w:tc>
              <w:tc>
                <w:tcPr>
                  <w:tcW w:w="13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宋体" w:hAnsi="宋体" w:eastAsia="宋体" w:cs="宋体"/>
                      <w:b/>
                      <w:bCs/>
                      <w:sz w:val="21"/>
                      <w:szCs w:val="21"/>
                    </w:rPr>
                  </w:pPr>
                  <w:r>
                    <w:rPr>
                      <w:rFonts w:ascii="宋体" w:hAnsi="宋体" w:eastAsia="宋体" w:cs="宋体"/>
                      <w:b/>
                      <w:bCs/>
                      <w:spacing w:val="-3"/>
                      <w:sz w:val="21"/>
                      <w:szCs w:val="21"/>
                    </w:rPr>
                    <w:t>去</w:t>
                  </w:r>
                  <w:r>
                    <w:rPr>
                      <w:rFonts w:ascii="宋体" w:hAnsi="宋体" w:eastAsia="宋体" w:cs="宋体"/>
                      <w:b/>
                      <w:bCs/>
                      <w:spacing w:val="-2"/>
                      <w:sz w:val="21"/>
                      <w:szCs w:val="21"/>
                    </w:rPr>
                    <w:t>除效率</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宋体" w:hAnsi="宋体" w:eastAsia="宋体" w:cs="宋体"/>
                      <w:b/>
                      <w:bCs/>
                      <w:sz w:val="21"/>
                      <w:szCs w:val="21"/>
                    </w:rPr>
                  </w:pPr>
                  <w:r>
                    <w:rPr>
                      <w:rFonts w:ascii="宋体" w:hAnsi="宋体" w:eastAsia="宋体" w:cs="宋体"/>
                      <w:b/>
                      <w:bCs/>
                      <w:spacing w:val="31"/>
                      <w:sz w:val="21"/>
                      <w:szCs w:val="21"/>
                    </w:rPr>
                    <w:t>(</w:t>
                  </w:r>
                  <w:r>
                    <w:rPr>
                      <w:rFonts w:ascii="Times New Roman" w:hAnsi="Times New Roman" w:eastAsia="Times New Roman" w:cs="Times New Roman"/>
                      <w:b/>
                      <w:bCs/>
                      <w:spacing w:val="30"/>
                      <w:sz w:val="21"/>
                      <w:szCs w:val="21"/>
                    </w:rPr>
                    <w:t>%</w:t>
                  </w:r>
                  <w:r>
                    <w:rPr>
                      <w:rFonts w:ascii="宋体" w:hAnsi="宋体" w:eastAsia="宋体" w:cs="宋体"/>
                      <w:b/>
                      <w:bCs/>
                      <w:spacing w:val="3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z w:val="21"/>
                      <w:szCs w:val="21"/>
                      <w:lang w:val="en-US" w:eastAsia="zh-CN"/>
                    </w:rPr>
                  </w:pPr>
                  <w:r>
                    <w:rPr>
                      <w:rFonts w:hint="default" w:ascii="Times New Roman" w:hAnsi="Times New Roman" w:eastAsia="宋体" w:cs="Times New Roman"/>
                      <w:sz w:val="21"/>
                      <w:szCs w:val="21"/>
                      <w:lang w:val="en-US" w:eastAsia="zh-CN"/>
                    </w:rPr>
                    <w:t>DA001</w:t>
                  </w:r>
                </w:p>
              </w:tc>
              <w:tc>
                <w:tcPr>
                  <w:tcW w:w="12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VOC</w:t>
                  </w:r>
                  <w:r>
                    <w:rPr>
                      <w:rFonts w:ascii="Times New Roman" w:hAnsi="Times New Roman" w:eastAsia="Times New Roman" w:cs="Times New Roman"/>
                      <w:sz w:val="21"/>
                      <w:szCs w:val="21"/>
                    </w:rPr>
                    <w:t>s</w:t>
                  </w:r>
                </w:p>
              </w:tc>
              <w:tc>
                <w:tcPr>
                  <w:tcW w:w="2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0.5017</w:t>
                  </w:r>
                </w:p>
              </w:tc>
              <w:tc>
                <w:tcPr>
                  <w:tcW w:w="2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0.07083</w:t>
                  </w:r>
                </w:p>
              </w:tc>
              <w:tc>
                <w:tcPr>
                  <w:tcW w:w="13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85.88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70"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left"/>
                    <w:textAlignment w:val="auto"/>
                    <w:rPr>
                      <w:rFonts w:ascii="Times New Roman" w:hAnsi="Times New Roman" w:eastAsia="Times New Roman" w:cs="Times New Roman"/>
                      <w:sz w:val="21"/>
                      <w:szCs w:val="21"/>
                    </w:rPr>
                  </w:pPr>
                  <w:r>
                    <w:rPr>
                      <w:rFonts w:ascii="宋体" w:hAnsi="宋体" w:eastAsia="宋体" w:cs="宋体"/>
                      <w:spacing w:val="-4"/>
                      <w:sz w:val="21"/>
                      <w:szCs w:val="21"/>
                    </w:rPr>
                    <w:t>备</w:t>
                  </w:r>
                  <w:r>
                    <w:rPr>
                      <w:rFonts w:ascii="宋体" w:hAnsi="宋体" w:eastAsia="宋体" w:cs="宋体"/>
                      <w:spacing w:val="-2"/>
                      <w:sz w:val="21"/>
                      <w:szCs w:val="21"/>
                    </w:rPr>
                    <w:t>注</w:t>
                  </w:r>
                  <w:r>
                    <w:rPr>
                      <w:rFonts w:hint="eastAsia" w:ascii="宋体" w:hAnsi="宋体" w:eastAsia="宋体" w:cs="宋体"/>
                      <w:spacing w:val="-2"/>
                      <w:sz w:val="21"/>
                      <w:szCs w:val="21"/>
                      <w:lang w:eastAsia="zh-CN"/>
                    </w:rPr>
                    <w:t>：</w:t>
                  </w:r>
                  <w:r>
                    <w:rPr>
                      <w:rFonts w:ascii="宋体" w:hAnsi="宋体" w:eastAsia="宋体" w:cs="宋体"/>
                      <w:spacing w:val="2"/>
                      <w:sz w:val="21"/>
                      <w:szCs w:val="21"/>
                    </w:rPr>
                    <w:t>(进口平均排放</w:t>
                  </w:r>
                  <w:r>
                    <w:rPr>
                      <w:rFonts w:hint="eastAsia" w:ascii="宋体" w:hAnsi="宋体" w:cs="宋体"/>
                      <w:spacing w:val="2"/>
                      <w:sz w:val="21"/>
                      <w:szCs w:val="21"/>
                      <w:lang w:val="en-US" w:eastAsia="zh-CN"/>
                    </w:rPr>
                    <w:t>速率</w:t>
                  </w:r>
                  <w:r>
                    <w:rPr>
                      <w:rFonts w:hint="eastAsia" w:ascii="宋体" w:hAnsi="宋体" w:eastAsia="宋体" w:cs="宋体"/>
                      <w:spacing w:val="2"/>
                      <w:sz w:val="21"/>
                      <w:szCs w:val="21"/>
                      <w:lang w:val="en-US" w:eastAsia="zh-CN"/>
                    </w:rPr>
                    <w:t xml:space="preserve"> -</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出口平均排放</w:t>
                  </w:r>
                  <w:r>
                    <w:rPr>
                      <w:rFonts w:hint="eastAsia" w:ascii="宋体" w:hAnsi="宋体" w:cs="宋体"/>
                      <w:spacing w:val="1"/>
                      <w:sz w:val="21"/>
                      <w:szCs w:val="21"/>
                      <w:lang w:val="en-US" w:eastAsia="zh-CN"/>
                    </w:rPr>
                    <w:t>速率</w:t>
                  </w:r>
                  <w:r>
                    <w:rPr>
                      <w:rFonts w:ascii="宋体" w:hAnsi="宋体" w:eastAsia="宋体" w:cs="宋体"/>
                      <w:spacing w:val="1"/>
                      <w:sz w:val="21"/>
                      <w:szCs w:val="21"/>
                    </w:rPr>
                    <w:t xml:space="preserve">) </w:t>
                  </w:r>
                  <w:r>
                    <w:rPr>
                      <w:rFonts w:ascii="Times New Roman" w:hAnsi="Times New Roman" w:eastAsia="Times New Roman" w:cs="Times New Roman"/>
                      <w:spacing w:val="1"/>
                      <w:sz w:val="21"/>
                      <w:szCs w:val="21"/>
                    </w:rPr>
                    <w:t>/</w:t>
                  </w:r>
                  <w:r>
                    <w:rPr>
                      <w:rFonts w:hint="eastAsia" w:ascii="Times New Roman" w:hAnsi="Times New Roman" w:eastAsia="宋体" w:cs="Times New Roman"/>
                      <w:spacing w:val="1"/>
                      <w:sz w:val="21"/>
                      <w:szCs w:val="21"/>
                      <w:lang w:val="en-US" w:eastAsia="zh-CN"/>
                    </w:rPr>
                    <w:t xml:space="preserve"> </w:t>
                  </w:r>
                  <w:r>
                    <w:rPr>
                      <w:rFonts w:ascii="宋体" w:hAnsi="宋体" w:eastAsia="宋体" w:cs="宋体"/>
                      <w:spacing w:val="1"/>
                      <w:sz w:val="21"/>
                      <w:szCs w:val="21"/>
                    </w:rPr>
                    <w:t>进口平均排放</w:t>
                  </w:r>
                  <w:r>
                    <w:rPr>
                      <w:rFonts w:hint="eastAsia" w:ascii="宋体" w:hAnsi="宋体" w:cs="宋体"/>
                      <w:spacing w:val="1"/>
                      <w:sz w:val="21"/>
                      <w:szCs w:val="21"/>
                      <w:lang w:val="en-US" w:eastAsia="zh-CN"/>
                    </w:rPr>
                    <w:t>速率</w:t>
                  </w:r>
                  <w:r>
                    <w:rPr>
                      <w:rFonts w:ascii="Times New Roman" w:hAnsi="Times New Roman" w:eastAsia="Times New Roman" w:cs="Times New Roman"/>
                      <w:spacing w:val="-5"/>
                      <w:sz w:val="21"/>
                      <w:szCs w:val="21"/>
                    </w:rPr>
                    <w:t>×</w:t>
                  </w:r>
                  <w:r>
                    <w:rPr>
                      <w:rFonts w:ascii="Times New Roman" w:hAnsi="Times New Roman" w:eastAsia="Times New Roman" w:cs="Times New Roman"/>
                      <w:spacing w:val="-3"/>
                      <w:sz w:val="21"/>
                      <w:szCs w:val="21"/>
                    </w:rPr>
                    <w:t>100%</w:t>
                  </w:r>
                </w:p>
              </w:tc>
            </w:tr>
          </w:tbl>
          <w:p>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hint="default" w:ascii="Times New Roman" w:hAnsi="Times New Roman" w:cs="Times New Roman"/>
                <w:b/>
                <w:bCs/>
                <w:color w:val="auto"/>
                <w:sz w:val="24"/>
                <w:szCs w:val="24"/>
                <w:highlight w:val="none"/>
                <w:lang w:val="en-US" w:eastAsia="zh-CN"/>
              </w:rPr>
            </w:pPr>
            <w:r>
              <w:rPr>
                <w:rFonts w:hint="eastAsia" w:ascii="宋体" w:hAnsi="宋体" w:eastAsia="宋体" w:cs="宋体"/>
                <w:spacing w:val="-6"/>
                <w:sz w:val="24"/>
                <w:szCs w:val="24"/>
                <w:highlight w:val="none"/>
                <w:lang w:val="en-US" w:eastAsia="zh-CN"/>
              </w:rPr>
              <w:t>由上表可知，</w:t>
            </w:r>
            <w:r>
              <w:rPr>
                <w:rFonts w:ascii="宋体" w:hAnsi="宋体" w:eastAsia="宋体" w:cs="宋体"/>
                <w:spacing w:val="-6"/>
                <w:sz w:val="24"/>
                <w:szCs w:val="24"/>
                <w:highlight w:val="none"/>
              </w:rPr>
              <w:t>验收检测期间</w:t>
            </w:r>
            <w:r>
              <w:rPr>
                <w:rFonts w:hint="eastAsia" w:ascii="宋体" w:hAnsi="宋体" w:eastAsia="宋体" w:cs="宋体"/>
                <w:spacing w:val="-6"/>
                <w:sz w:val="24"/>
                <w:szCs w:val="24"/>
                <w:highlight w:val="none"/>
                <w:lang w:val="en-US" w:eastAsia="zh-CN"/>
              </w:rPr>
              <w:t>本项目与医药包装产业基地项目（一期）共用的二级活性炭吸附装置对VOCs平均去除效率为</w:t>
            </w:r>
            <w:r>
              <w:rPr>
                <w:rFonts w:hint="default" w:ascii="Times New Roman" w:hAnsi="Times New Roman" w:eastAsia="宋体" w:cs="Times New Roman"/>
                <w:spacing w:val="-6"/>
                <w:sz w:val="24"/>
                <w:szCs w:val="24"/>
                <w:highlight w:val="none"/>
                <w:lang w:val="en-US" w:eastAsia="zh-CN"/>
              </w:rPr>
              <w:t>85.8</w:t>
            </w:r>
            <w:r>
              <w:rPr>
                <w:rFonts w:hint="eastAsia" w:cs="Times New Roman"/>
                <w:spacing w:val="-6"/>
                <w:sz w:val="24"/>
                <w:szCs w:val="24"/>
                <w:highlight w:val="none"/>
                <w:lang w:val="en-US" w:eastAsia="zh-CN"/>
              </w:rPr>
              <w:t>8</w:t>
            </w:r>
            <w:r>
              <w:rPr>
                <w:rFonts w:hint="default" w:ascii="Times New Roman" w:hAnsi="Times New Roman" w:eastAsia="宋体" w:cs="Times New Roman"/>
                <w:spacing w:val="-6"/>
                <w:sz w:val="24"/>
                <w:szCs w:val="24"/>
                <w:highlight w:val="no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w:t>
            </w:r>
          </w:p>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9.3 工程建设对环境的影响</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本项目未对现状环境质量进行监测，根据环评报告数据，周边环境质量良好，项目建设对周围环境影响较小。</w:t>
            </w: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p>
            <w:pPr>
              <w:spacing w:line="360" w:lineRule="auto"/>
              <w:ind w:firstLine="480" w:firstLineChars="200"/>
              <w:jc w:val="both"/>
              <w:rPr>
                <w:rFonts w:hint="default" w:ascii="Times New Roman" w:hAnsi="Times New Roman" w:cs="Times New Roman"/>
                <w:color w:val="auto"/>
                <w:sz w:val="24"/>
                <w:szCs w:val="24"/>
                <w:lang w:eastAsia="zh-CN"/>
              </w:rPr>
            </w:pPr>
          </w:p>
        </w:tc>
      </w:tr>
    </w:tbl>
    <w:p>
      <w:pPr>
        <w:spacing w:line="360" w:lineRule="auto"/>
        <w:rPr>
          <w:rFonts w:hint="default" w:ascii="Times New Roman" w:hAnsi="Times New Roman" w:cs="Times New Roman"/>
          <w:b/>
          <w:bCs/>
          <w:color w:val="0000FF"/>
          <w:sz w:val="24"/>
          <w:szCs w:val="24"/>
          <w:lang w:eastAsia="zh-CN"/>
        </w:rPr>
      </w:pPr>
      <w:r>
        <w:rPr>
          <w:rFonts w:hint="default" w:ascii="Times New Roman" w:hAnsi="Times New Roman" w:cs="Times New Roman"/>
          <w:b/>
          <w:bCs/>
          <w:color w:val="0000FF"/>
          <w:sz w:val="24"/>
          <w:szCs w:val="24"/>
          <w:lang w:eastAsia="zh-CN"/>
        </w:rPr>
        <w:br w:type="page"/>
      </w:r>
      <w:r>
        <w:rPr>
          <w:rFonts w:hint="default" w:ascii="Times New Roman" w:hAnsi="Times New Roman" w:cs="Times New Roman"/>
          <w:b/>
          <w:bCs/>
          <w:color w:val="auto"/>
          <w:sz w:val="24"/>
          <w:szCs w:val="24"/>
          <w:lang w:eastAsia="zh-CN"/>
        </w:rPr>
        <w:t>表十、验收监测结论</w:t>
      </w:r>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79" w:hRule="atLeast"/>
        </w:trPr>
        <w:tc>
          <w:tcPr>
            <w:tcW w:w="9026" w:type="dxa"/>
          </w:tcPr>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10.1 工程建设对环境的影响</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山东永聚医药科技股份有限公司（原名山东永聚医药科技有限公司，于2023年8月1日更名，详见附件1）投资5200万元建设医药包装产业基地塑料加工制造技术改造项目，位于淄博市临淄区凤凰镇宏达路1618号山东永聚医药科技股份有限公司现有厂区内</w:t>
            </w:r>
            <w:r>
              <w:rPr>
                <w:rFonts w:hint="default" w:ascii="Times New Roman" w:hAnsi="Times New Roman" w:cs="Times New Roman"/>
                <w:color w:val="auto"/>
                <w:sz w:val="24"/>
                <w:szCs w:val="24"/>
                <w:lang w:eastAsia="zh-CN"/>
              </w:rPr>
              <w:t>。项目符合国家及淄博市产业政策，用地符合当地用地规划。项目所在地交通便利；地势相对平坦，地表完整，场区地基土分布稳定，无不良地质作用，适合建筑；地理位置优越，交通便捷，水、电等公共基础设施配套完善；本项目产生废气、废水、噪声、固废等污染物较少，而且能够得到合理处置；项目周围2km内没有历史文物古迹、风景名胜区及重要生态功能区。</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该项目针对营运过程产生的污染物采取了合理、有效的防治措施，污染物均能达标排放，对周围环境影响较小。</w:t>
            </w:r>
          </w:p>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10.2 验收监测结论</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验收监测期间，</w:t>
            </w:r>
            <w:r>
              <w:rPr>
                <w:rFonts w:hint="default" w:ascii="Times New Roman" w:hAnsi="Times New Roman" w:cs="Times New Roman"/>
                <w:color w:val="auto"/>
                <w:sz w:val="24"/>
                <w:szCs w:val="24"/>
                <w:lang w:val="en-US" w:eastAsia="zh-CN"/>
              </w:rPr>
              <w:t>山东永聚医药科技股份有限公司</w:t>
            </w:r>
            <w:r>
              <w:rPr>
                <w:rFonts w:hint="eastAsia" w:cs="Times New Roman"/>
                <w:color w:val="auto"/>
                <w:sz w:val="24"/>
                <w:szCs w:val="24"/>
                <w:lang w:val="en-US" w:eastAsia="zh-CN"/>
              </w:rPr>
              <w:t>（原名山东永聚医药科技有限公司，于2023年8月1日更名，详见附件1）</w:t>
            </w:r>
            <w:r>
              <w:rPr>
                <w:rFonts w:hint="default" w:ascii="Times New Roman" w:hAnsi="Times New Roman" w:eastAsia="宋体" w:cs="Times New Roman"/>
                <w:sz w:val="24"/>
                <w:highlight w:val="none"/>
                <w:lang w:eastAsia="zh-CN"/>
              </w:rPr>
              <w:t>医药包装产业基地塑料加工制造技术改造项目</w:t>
            </w:r>
            <w:r>
              <w:rPr>
                <w:rFonts w:hint="default" w:ascii="Times New Roman" w:hAnsi="Times New Roman" w:cs="Times New Roman"/>
                <w:color w:val="auto"/>
                <w:sz w:val="24"/>
                <w:szCs w:val="24"/>
                <w:lang w:eastAsia="zh-CN"/>
              </w:rPr>
              <w:t>的各项设备均运行正常，环保验收监测工况要求。</w:t>
            </w:r>
          </w:p>
          <w:p>
            <w:pPr>
              <w:numPr>
                <w:ilvl w:val="0"/>
                <w:numId w:val="6"/>
              </w:numPr>
              <w:spacing w:line="360" w:lineRule="auto"/>
              <w:ind w:firstLine="480" w:firstLineChars="200"/>
              <w:jc w:val="both"/>
              <w:rPr>
                <w:rFonts w:ascii="宋体" w:hAnsi="宋体" w:eastAsia="宋体" w:cs="宋体"/>
                <w:sz w:val="24"/>
                <w:szCs w:val="24"/>
              </w:rPr>
            </w:pPr>
            <w:r>
              <w:rPr>
                <w:rFonts w:hint="default" w:ascii="Times New Roman" w:hAnsi="Times New Roman" w:cs="Times New Roman"/>
                <w:color w:val="auto"/>
                <w:sz w:val="24"/>
                <w:szCs w:val="24"/>
                <w:lang w:eastAsia="zh-CN"/>
              </w:rPr>
              <w:t>废气监测结论</w:t>
            </w:r>
          </w:p>
          <w:p>
            <w:pPr>
              <w:numPr>
                <w:ilvl w:val="0"/>
                <w:numId w:val="0"/>
              </w:numPr>
              <w:spacing w:line="360" w:lineRule="auto"/>
              <w:ind w:firstLine="480" w:firstLineChars="200"/>
              <w:jc w:val="both"/>
              <w:rPr>
                <w:rFonts w:hint="eastAsia" w:ascii="宋体" w:hAnsi="宋体" w:eastAsia="宋体" w:cs="宋体"/>
                <w:spacing w:val="14"/>
                <w:sz w:val="24"/>
                <w:szCs w:val="24"/>
                <w:lang w:val="en-US" w:eastAsia="zh-CN"/>
              </w:rPr>
            </w:pPr>
            <w:r>
              <w:rPr>
                <w:rFonts w:hint="eastAsia"/>
                <w:sz w:val="24"/>
                <w:szCs w:val="24"/>
              </w:rPr>
              <w:t>本项目废气主要为预灌封注射器/预充管生产过程产生的注塑废气</w:t>
            </w:r>
            <w:r>
              <w:rPr>
                <w:rFonts w:hint="eastAsia"/>
                <w:sz w:val="24"/>
                <w:szCs w:val="24"/>
                <w:lang w:eastAsia="zh-CN"/>
              </w:rPr>
              <w:t>（</w:t>
            </w:r>
            <w:r>
              <w:rPr>
                <w:rFonts w:hint="eastAsia"/>
                <w:sz w:val="24"/>
                <w:szCs w:val="24"/>
                <w:lang w:val="en-US" w:eastAsia="zh-CN"/>
              </w:rPr>
              <w:t>VOCs</w:t>
            </w:r>
            <w:r>
              <w:rPr>
                <w:rFonts w:hint="eastAsia"/>
                <w:sz w:val="24"/>
                <w:szCs w:val="24"/>
                <w:lang w:eastAsia="zh-CN"/>
              </w:rPr>
              <w:t>）</w:t>
            </w:r>
            <w:r>
              <w:rPr>
                <w:rFonts w:hint="eastAsia"/>
                <w:sz w:val="24"/>
                <w:szCs w:val="24"/>
              </w:rPr>
              <w:t>和西林瓶生产过程中产生的吹塑废气</w:t>
            </w:r>
            <w:r>
              <w:rPr>
                <w:rFonts w:hint="eastAsia"/>
                <w:sz w:val="24"/>
                <w:szCs w:val="24"/>
                <w:lang w:eastAsia="zh-CN"/>
              </w:rPr>
              <w:t>（</w:t>
            </w:r>
            <w:r>
              <w:rPr>
                <w:rFonts w:hint="eastAsia"/>
                <w:sz w:val="24"/>
                <w:szCs w:val="24"/>
                <w:lang w:val="en-US" w:eastAsia="zh-CN"/>
              </w:rPr>
              <w:t>VOCs</w:t>
            </w:r>
            <w:r>
              <w:rPr>
                <w:rFonts w:hint="eastAsia"/>
                <w:sz w:val="24"/>
                <w:szCs w:val="24"/>
                <w:lang w:eastAsia="zh-CN"/>
              </w:rPr>
              <w:t>）</w:t>
            </w:r>
            <w:r>
              <w:rPr>
                <w:rFonts w:hint="eastAsia"/>
                <w:sz w:val="24"/>
                <w:szCs w:val="24"/>
                <w:lang w:val="en-US" w:eastAsia="zh-CN"/>
              </w:rPr>
              <w:t>，注塑废气和吹塑废气经</w:t>
            </w:r>
            <w:r>
              <w:rPr>
                <w:rFonts w:ascii="宋体" w:hAnsi="宋体" w:eastAsia="宋体"/>
                <w:bCs/>
                <w:sz w:val="24"/>
                <w:szCs w:val="24"/>
              </w:rPr>
              <w:t>通过</w:t>
            </w:r>
            <w:r>
              <w:rPr>
                <w:rFonts w:hint="eastAsia" w:ascii="宋体" w:hAnsi="宋体" w:eastAsia="宋体"/>
                <w:bCs/>
                <w:sz w:val="24"/>
                <w:szCs w:val="24"/>
              </w:rPr>
              <w:t>负压（抽风系统）收集后进入</w:t>
            </w:r>
            <w:r>
              <w:rPr>
                <w:rFonts w:ascii="宋体" w:hAnsi="宋体" w:eastAsia="宋体"/>
                <w:bCs/>
                <w:sz w:val="24"/>
                <w:szCs w:val="24"/>
              </w:rPr>
              <w:t>二级活性炭吸附装置处理后由DA00</w:t>
            </w:r>
            <w:r>
              <w:rPr>
                <w:rFonts w:hint="eastAsia" w:ascii="宋体" w:hAnsi="宋体" w:eastAsia="宋体"/>
                <w:bCs/>
                <w:sz w:val="24"/>
                <w:szCs w:val="24"/>
              </w:rPr>
              <w:t>1</w:t>
            </w:r>
            <w:r>
              <w:rPr>
                <w:rFonts w:ascii="宋体" w:hAnsi="宋体" w:eastAsia="宋体"/>
                <w:bCs/>
                <w:sz w:val="24"/>
                <w:szCs w:val="24"/>
              </w:rPr>
              <w:t>排气筒排放</w:t>
            </w:r>
            <w:r>
              <w:rPr>
                <w:rFonts w:hint="eastAsia" w:ascii="宋体" w:hAnsi="宋体" w:eastAsia="宋体"/>
                <w:bCs/>
                <w:sz w:val="24"/>
                <w:szCs w:val="24"/>
                <w:lang w:eastAsia="zh-CN"/>
              </w:rPr>
              <w:t>。</w:t>
            </w:r>
          </w:p>
          <w:p>
            <w:pPr>
              <w:numPr>
                <w:ilvl w:val="0"/>
                <w:numId w:val="0"/>
              </w:numPr>
              <w:spacing w:line="360" w:lineRule="auto"/>
              <w:ind w:firstLine="536" w:firstLineChars="200"/>
              <w:jc w:val="both"/>
              <w:rPr>
                <w:rFonts w:ascii="宋体" w:hAnsi="宋体" w:eastAsia="宋体" w:cs="宋体"/>
                <w:sz w:val="24"/>
                <w:szCs w:val="24"/>
              </w:rPr>
            </w:pPr>
            <w:r>
              <w:rPr>
                <w:rFonts w:ascii="宋体" w:hAnsi="宋体" w:eastAsia="宋体" w:cs="宋体"/>
                <w:spacing w:val="14"/>
                <w:sz w:val="24"/>
                <w:szCs w:val="24"/>
              </w:rPr>
              <w:t>验</w:t>
            </w:r>
            <w:r>
              <w:rPr>
                <w:rFonts w:ascii="宋体" w:hAnsi="宋体" w:eastAsia="宋体" w:cs="宋体"/>
                <w:spacing w:val="9"/>
                <w:sz w:val="24"/>
                <w:szCs w:val="24"/>
              </w:rPr>
              <w:t>收</w:t>
            </w:r>
            <w:r>
              <w:rPr>
                <w:rFonts w:ascii="宋体" w:hAnsi="宋体" w:eastAsia="宋体" w:cs="宋体"/>
                <w:spacing w:val="7"/>
                <w:sz w:val="24"/>
                <w:szCs w:val="24"/>
              </w:rPr>
              <w:t>监测结果表明：验收监测期间，</w:t>
            </w:r>
            <w:r>
              <w:rPr>
                <w:rFonts w:hint="eastAsia" w:ascii="Times New Roman" w:hAnsi="Times New Roman" w:eastAsia="宋体" w:cs="Times New Roman"/>
                <w:sz w:val="24"/>
                <w:szCs w:val="24"/>
                <w:lang w:val="en-US" w:eastAsia="zh-CN"/>
              </w:rPr>
              <w:t>DA001</w:t>
            </w:r>
            <w:r>
              <w:rPr>
                <w:rFonts w:hint="default" w:ascii="Times New Roman" w:hAnsi="Times New Roman" w:eastAsia="宋体" w:cs="Times New Roman"/>
                <w:sz w:val="24"/>
                <w:szCs w:val="24"/>
                <w:lang w:val="en-US" w:eastAsia="zh-CN"/>
              </w:rPr>
              <w:t>排气筒</w:t>
            </w:r>
            <w:r>
              <w:rPr>
                <w:rFonts w:hint="eastAsia" w:ascii="Times New Roman" w:hAnsi="Times New Roman" w:eastAsia="宋体" w:cs="Times New Roman"/>
                <w:sz w:val="24"/>
                <w:szCs w:val="24"/>
                <w:lang w:val="en-US" w:eastAsia="zh-CN"/>
              </w:rPr>
              <w:t>出口有组织</w:t>
            </w:r>
            <w:r>
              <w:rPr>
                <w:rFonts w:hint="default" w:ascii="Times New Roman" w:hAnsi="Times New Roman" w:eastAsia="宋体" w:cs="Times New Roman"/>
                <w:sz w:val="24"/>
                <w:szCs w:val="24"/>
                <w:lang w:val="en-US" w:eastAsia="zh-CN"/>
              </w:rPr>
              <w:t>VOCs</w:t>
            </w:r>
            <w:r>
              <w:rPr>
                <w:rFonts w:hint="eastAsia" w:ascii="Times New Roman" w:hAnsi="Times New Roman" w:eastAsia="宋体" w:cs="Times New Roman"/>
                <w:sz w:val="24"/>
                <w:szCs w:val="24"/>
                <w:lang w:val="en-US" w:eastAsia="zh-CN"/>
              </w:rPr>
              <w:t>最大</w:t>
            </w:r>
            <w:r>
              <w:rPr>
                <w:rFonts w:hint="default" w:ascii="Times New Roman" w:hAnsi="Times New Roman" w:eastAsia="宋体" w:cs="Times New Roman"/>
                <w:sz w:val="24"/>
                <w:szCs w:val="24"/>
                <w:lang w:val="en-US" w:eastAsia="zh-CN"/>
              </w:rPr>
              <w:t>排放浓度及</w:t>
            </w:r>
            <w:r>
              <w:rPr>
                <w:rFonts w:hint="eastAsia" w:ascii="Times New Roman" w:hAnsi="Times New Roman" w:eastAsia="宋体" w:cs="Times New Roman"/>
                <w:sz w:val="24"/>
                <w:szCs w:val="24"/>
                <w:lang w:val="en-US" w:eastAsia="zh-CN"/>
              </w:rPr>
              <w:t>最大</w:t>
            </w:r>
            <w:r>
              <w:rPr>
                <w:rFonts w:hint="default" w:ascii="Times New Roman" w:hAnsi="Times New Roman" w:eastAsia="宋体" w:cs="Times New Roman"/>
                <w:sz w:val="24"/>
                <w:szCs w:val="24"/>
                <w:lang w:val="en-US" w:eastAsia="zh-CN"/>
              </w:rPr>
              <w:t>速率分别为</w:t>
            </w:r>
            <w:r>
              <w:rPr>
                <w:rFonts w:hint="eastAsia" w:ascii="Times New Roman" w:hAnsi="Times New Roman" w:eastAsia="宋体" w:cs="Times New Roman"/>
                <w:sz w:val="24"/>
                <w:szCs w:val="24"/>
                <w:lang w:val="en-US" w:eastAsia="zh-CN"/>
              </w:rPr>
              <w:t>24.6</w:t>
            </w:r>
            <w:r>
              <w:rPr>
                <w:rFonts w:hint="default" w:ascii="Times New Roman" w:hAnsi="Times New Roman" w:eastAsia="宋体" w:cs="Times New Roman"/>
                <w:sz w:val="24"/>
                <w:szCs w:val="24"/>
                <w:lang w:val="en-US" w:eastAsia="zh-CN"/>
              </w:rPr>
              <w:t>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、0.0</w:t>
            </w:r>
            <w:r>
              <w:rPr>
                <w:rFonts w:hint="eastAsia" w:ascii="Times New Roman" w:hAnsi="Times New Roman" w:eastAsia="宋体" w:cs="Times New Roman"/>
                <w:sz w:val="24"/>
                <w:szCs w:val="24"/>
                <w:lang w:val="en-US" w:eastAsia="zh-CN"/>
              </w:rPr>
              <w:t>77</w:t>
            </w:r>
            <w:r>
              <w:rPr>
                <w:rFonts w:hint="default" w:ascii="Times New Roman" w:hAnsi="Times New Roman" w:eastAsia="宋体" w:cs="Times New Roman"/>
                <w:sz w:val="24"/>
                <w:szCs w:val="24"/>
                <w:lang w:val="en-US" w:eastAsia="zh-CN"/>
              </w:rPr>
              <w:t>kg/h</w:t>
            </w:r>
            <w:r>
              <w:rPr>
                <w:rFonts w:ascii="宋体" w:hAnsi="宋体" w:eastAsia="宋体" w:cs="宋体"/>
                <w:spacing w:val="-3"/>
                <w:sz w:val="24"/>
                <w:szCs w:val="24"/>
              </w:rPr>
              <w:t>，</w:t>
            </w:r>
            <w:r>
              <w:rPr>
                <w:rFonts w:hint="eastAsia" w:ascii="宋体" w:hAnsi="宋体" w:eastAsia="宋体" w:cs="宋体"/>
                <w:spacing w:val="-3"/>
                <w:sz w:val="24"/>
                <w:szCs w:val="24"/>
                <w:lang w:val="en-US" w:eastAsia="zh-CN"/>
              </w:rPr>
              <w:t>均满足《</w:t>
            </w:r>
            <w:r>
              <w:rPr>
                <w:rFonts w:ascii="宋体" w:hAnsi="宋体" w:eastAsia="宋体" w:cs="宋体"/>
                <w:spacing w:val="-5"/>
                <w:sz w:val="24"/>
                <w:szCs w:val="24"/>
              </w:rPr>
              <w:t>挥发性有机物排放标准</w:t>
            </w:r>
            <w:r>
              <w:rPr>
                <w:rFonts w:ascii="宋体" w:hAnsi="宋体" w:eastAsia="宋体" w:cs="宋体"/>
                <w:sz w:val="24"/>
                <w:szCs w:val="24"/>
              </w:rPr>
              <w:t xml:space="preserve"> </w:t>
            </w:r>
            <w:r>
              <w:rPr>
                <w:rFonts w:ascii="宋体" w:hAnsi="宋体" w:eastAsia="宋体" w:cs="宋体"/>
                <w:spacing w:val="2"/>
                <w:sz w:val="24"/>
                <w:szCs w:val="24"/>
              </w:rPr>
              <w:t>第</w:t>
            </w:r>
            <w:r>
              <w:rPr>
                <w:rFonts w:ascii="Times New Roman" w:hAnsi="Times New Roman" w:eastAsia="Times New Roman" w:cs="Times New Roman"/>
                <w:spacing w:val="2"/>
                <w:sz w:val="24"/>
                <w:szCs w:val="24"/>
              </w:rPr>
              <w:t>6</w:t>
            </w:r>
            <w:r>
              <w:rPr>
                <w:rFonts w:ascii="宋体" w:hAnsi="宋体" w:eastAsia="宋体" w:cs="宋体"/>
                <w:spacing w:val="2"/>
                <w:sz w:val="24"/>
                <w:szCs w:val="24"/>
              </w:rPr>
              <w:t>部分：有机化工行业》(</w:t>
            </w:r>
            <w:r>
              <w:rPr>
                <w:rFonts w:ascii="Times New Roman" w:hAnsi="Times New Roman" w:eastAsia="Times New Roman" w:cs="Times New Roman"/>
                <w:sz w:val="24"/>
                <w:szCs w:val="24"/>
              </w:rPr>
              <w:t>DB</w:t>
            </w:r>
            <w:r>
              <w:rPr>
                <w:rFonts w:ascii="Times New Roman" w:hAnsi="Times New Roman" w:eastAsia="Times New Roman" w:cs="Times New Roman"/>
                <w:spacing w:val="2"/>
                <w:sz w:val="24"/>
                <w:szCs w:val="24"/>
              </w:rPr>
              <w:t>37/2801.6-2</w:t>
            </w:r>
            <w:r>
              <w:rPr>
                <w:rFonts w:ascii="Times New Roman" w:hAnsi="Times New Roman" w:eastAsia="Times New Roman" w:cs="Times New Roman"/>
                <w:spacing w:val="1"/>
                <w:sz w:val="24"/>
                <w:szCs w:val="24"/>
              </w:rPr>
              <w:t>018</w:t>
            </w:r>
            <w:r>
              <w:rPr>
                <w:rFonts w:ascii="宋体" w:hAnsi="宋体" w:eastAsia="宋体" w:cs="宋体"/>
                <w:spacing w:val="1"/>
                <w:sz w:val="24"/>
                <w:szCs w:val="24"/>
              </w:rPr>
              <w:t>)表</w:t>
            </w:r>
            <w:r>
              <w:rPr>
                <w:rFonts w:ascii="Times New Roman" w:hAnsi="Times New Roman" w:eastAsia="Times New Roman" w:cs="Times New Roman"/>
                <w:spacing w:val="1"/>
                <w:sz w:val="24"/>
                <w:szCs w:val="24"/>
              </w:rPr>
              <w:t>1</w:t>
            </w:r>
            <w:r>
              <w:rPr>
                <w:rFonts w:ascii="宋体" w:hAnsi="宋体" w:eastAsia="宋体" w:cs="宋体"/>
                <w:spacing w:val="1"/>
                <w:sz w:val="24"/>
                <w:szCs w:val="24"/>
              </w:rPr>
              <w:t>中其他行业</w:t>
            </w:r>
            <w:r>
              <w:rPr>
                <w:rFonts w:ascii="Times New Roman" w:hAnsi="Times New Roman" w:eastAsia="Times New Roman" w:cs="Times New Roman"/>
                <w:spacing w:val="1"/>
                <w:sz w:val="24"/>
                <w:szCs w:val="24"/>
              </w:rPr>
              <w:t>Ⅱ</w:t>
            </w:r>
            <w:r>
              <w:rPr>
                <w:rFonts w:ascii="宋体" w:hAnsi="宋体" w:eastAsia="宋体" w:cs="宋体"/>
                <w:spacing w:val="1"/>
                <w:sz w:val="24"/>
                <w:szCs w:val="24"/>
              </w:rPr>
              <w:t>时段排放限</w:t>
            </w:r>
            <w:r>
              <w:rPr>
                <w:rFonts w:ascii="宋体" w:hAnsi="宋体" w:eastAsia="宋体" w:cs="宋体"/>
                <w:spacing w:val="-6"/>
                <w:sz w:val="24"/>
                <w:szCs w:val="24"/>
              </w:rPr>
              <w:t>值</w:t>
            </w:r>
            <w:r>
              <w:rPr>
                <w:rFonts w:ascii="宋体" w:hAnsi="宋体" w:eastAsia="宋体" w:cs="宋体"/>
                <w:spacing w:val="-4"/>
                <w:sz w:val="24"/>
                <w:szCs w:val="24"/>
              </w:rPr>
              <w:t>。</w:t>
            </w:r>
          </w:p>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cs="Times New Roman"/>
                <w:sz w:val="24"/>
                <w:lang w:val="en-US" w:eastAsia="zh-CN"/>
              </w:rPr>
            </w:pPr>
            <w:r>
              <w:rPr>
                <w:rFonts w:hint="default" w:ascii="Times New Roman" w:hAnsi="Times New Roman" w:cs="Times New Roman"/>
                <w:sz w:val="24"/>
              </w:rPr>
              <w:t>厂界</w:t>
            </w:r>
            <w:r>
              <w:rPr>
                <w:rFonts w:hint="eastAsia" w:cs="Times New Roman"/>
                <w:sz w:val="24"/>
                <w:lang w:val="en-US" w:eastAsia="zh-CN"/>
              </w:rPr>
              <w:t>无组织</w:t>
            </w:r>
            <w:r>
              <w:rPr>
                <w:rFonts w:hint="default" w:ascii="Times New Roman" w:hAnsi="Times New Roman" w:cs="Times New Roman"/>
                <w:sz w:val="24"/>
              </w:rPr>
              <w:t>VOCs最大排放浓度为1.</w:t>
            </w:r>
            <w:r>
              <w:rPr>
                <w:rFonts w:hint="eastAsia" w:cs="Times New Roman"/>
                <w:sz w:val="24"/>
                <w:lang w:val="en-US" w:eastAsia="zh-CN"/>
              </w:rPr>
              <w:t>07</w:t>
            </w:r>
            <w:r>
              <w:rPr>
                <w:rFonts w:hint="default" w:ascii="Times New Roman" w:hAnsi="Times New Roman" w:cs="Times New Roman"/>
                <w:sz w:val="24"/>
              </w:rPr>
              <w:t>mg/m</w:t>
            </w:r>
            <w:r>
              <w:rPr>
                <w:rFonts w:hint="default" w:ascii="Times New Roman" w:hAnsi="Times New Roman" w:cs="Times New Roman"/>
                <w:sz w:val="24"/>
                <w:vertAlign w:val="superscript"/>
              </w:rPr>
              <w:t>3</w:t>
            </w:r>
            <w:r>
              <w:rPr>
                <w:rFonts w:hint="default" w:ascii="Times New Roman" w:hAnsi="Times New Roman" w:cs="Times New Roman"/>
                <w:sz w:val="24"/>
              </w:rPr>
              <w:t>，满足《挥发性有机物排放标准 第6部分</w:t>
            </w:r>
            <w:r>
              <w:rPr>
                <w:rFonts w:hint="eastAsia" w:cs="Times New Roman"/>
                <w:sz w:val="24"/>
                <w:lang w:eastAsia="zh-CN"/>
              </w:rPr>
              <w:t>：</w:t>
            </w:r>
            <w:r>
              <w:rPr>
                <w:rFonts w:hint="default" w:ascii="Times New Roman" w:hAnsi="Times New Roman" w:cs="Times New Roman"/>
                <w:sz w:val="24"/>
              </w:rPr>
              <w:t>有机化工行业</w:t>
            </w:r>
            <w:r>
              <w:rPr>
                <w:rFonts w:hint="eastAsia" w:ascii="Times New Roman" w:hAnsi="Times New Roman" w:cs="Times New Roman"/>
                <w:sz w:val="24"/>
                <w:lang w:eastAsia="zh-CN"/>
              </w:rPr>
              <w:t>》</w:t>
            </w:r>
            <w:r>
              <w:rPr>
                <w:rFonts w:hint="default" w:ascii="Times New Roman" w:hAnsi="Times New Roman" w:cs="Times New Roman"/>
                <w:sz w:val="24"/>
              </w:rPr>
              <w:t>（DB37/2801.6-2018）表3标准要求（VOCs：2.0mg/m</w:t>
            </w:r>
            <w:r>
              <w:rPr>
                <w:rFonts w:hint="default" w:ascii="Times New Roman" w:hAnsi="Times New Roman" w:cs="Times New Roman"/>
                <w:sz w:val="24"/>
                <w:vertAlign w:val="superscript"/>
              </w:rPr>
              <w:t>3</w:t>
            </w:r>
            <w:r>
              <w:rPr>
                <w:rFonts w:hint="default" w:ascii="Times New Roman" w:hAnsi="Times New Roman" w:cs="Times New Roman"/>
                <w:sz w:val="24"/>
              </w:rPr>
              <w:t>）</w:t>
            </w:r>
            <w:r>
              <w:rPr>
                <w:rFonts w:hint="eastAsia" w:cs="Times New Roman"/>
                <w:sz w:val="24"/>
                <w:lang w:eastAsia="zh-CN"/>
              </w:rPr>
              <w:t>；厂内监控点</w:t>
            </w:r>
            <w:r>
              <w:rPr>
                <w:rFonts w:hint="eastAsia" w:cs="Times New Roman"/>
                <w:sz w:val="24"/>
                <w:lang w:val="en-US" w:eastAsia="zh-CN"/>
              </w:rPr>
              <w:t>无组织VOCs最大排放浓度为4.62mg/m</w:t>
            </w:r>
            <w:r>
              <w:rPr>
                <w:rFonts w:hint="eastAsia" w:cs="Times New Roman"/>
                <w:sz w:val="24"/>
                <w:vertAlign w:val="superscript"/>
                <w:lang w:val="en-US" w:eastAsia="zh-CN"/>
              </w:rPr>
              <w:t>3</w:t>
            </w:r>
            <w:r>
              <w:rPr>
                <w:rFonts w:hint="eastAsia" w:cs="Times New Roman"/>
                <w:sz w:val="24"/>
                <w:lang w:val="en-US" w:eastAsia="zh-CN"/>
              </w:rPr>
              <w:t>，满足《挥发性有机物无组织排放控制标准》（GB37822-2019）附录A表A.1标准限值。</w:t>
            </w:r>
          </w:p>
          <w:p>
            <w:pPr>
              <w:spacing w:line="360" w:lineRule="auto"/>
              <w:ind w:firstLine="480" w:firstLineChars="200"/>
              <w:rPr>
                <w:rFonts w:hint="default"/>
                <w:sz w:val="24"/>
                <w:szCs w:val="24"/>
                <w:lang w:val="en-US" w:eastAsia="zh-CN"/>
              </w:rPr>
            </w:pPr>
            <w:r>
              <w:rPr>
                <w:rFonts w:hint="default"/>
                <w:sz w:val="24"/>
                <w:szCs w:val="24"/>
                <w:lang w:val="en-US" w:eastAsia="zh-CN"/>
              </w:rPr>
              <w:t>根据验收检测数据</w:t>
            </w:r>
            <w:r>
              <w:rPr>
                <w:rFonts w:hint="eastAsia"/>
                <w:sz w:val="24"/>
                <w:szCs w:val="24"/>
                <w:lang w:val="en-US" w:eastAsia="zh-CN"/>
              </w:rPr>
              <w:t>、</w:t>
            </w:r>
            <w:r>
              <w:rPr>
                <w:rFonts w:hint="eastAsia" w:ascii="宋体" w:hAnsi="宋体" w:eastAsia="宋体"/>
                <w:sz w:val="24"/>
                <w:szCs w:val="24"/>
                <w:highlight w:val="none"/>
              </w:rPr>
              <w:t>2</w:t>
            </w:r>
            <w:r>
              <w:rPr>
                <w:rFonts w:ascii="宋体" w:hAnsi="宋体" w:eastAsia="宋体"/>
                <w:sz w:val="24"/>
                <w:szCs w:val="24"/>
                <w:highlight w:val="none"/>
              </w:rPr>
              <w:t>021</w:t>
            </w:r>
            <w:r>
              <w:rPr>
                <w:rFonts w:hint="eastAsia" w:ascii="宋体" w:hAnsi="宋体" w:eastAsia="宋体"/>
                <w:sz w:val="24"/>
                <w:szCs w:val="24"/>
                <w:highlight w:val="none"/>
              </w:rPr>
              <w:t>年7月1</w:t>
            </w:r>
            <w:r>
              <w:rPr>
                <w:rFonts w:ascii="宋体" w:hAnsi="宋体" w:eastAsia="宋体"/>
                <w:sz w:val="24"/>
                <w:szCs w:val="24"/>
                <w:highlight w:val="none"/>
              </w:rPr>
              <w:t>9</w:t>
            </w:r>
            <w:r>
              <w:rPr>
                <w:rFonts w:hint="eastAsia" w:ascii="宋体" w:hAnsi="宋体" w:eastAsia="宋体"/>
                <w:sz w:val="24"/>
                <w:szCs w:val="24"/>
                <w:highlight w:val="none"/>
              </w:rPr>
              <w:t>日山东永聚医药科有限公司医药包装产业基地项目（一期）竣工环境保护验收意见</w:t>
            </w:r>
            <w:r>
              <w:rPr>
                <w:rFonts w:hint="eastAsia" w:ascii="宋体" w:hAnsi="宋体" w:eastAsia="宋体"/>
                <w:sz w:val="24"/>
                <w:szCs w:val="24"/>
                <w:highlight w:val="none"/>
                <w:lang w:val="en-US" w:eastAsia="zh-CN"/>
              </w:rPr>
              <w:t>及</w:t>
            </w:r>
            <w:r>
              <w:rPr>
                <w:rFonts w:hint="eastAsia" w:ascii="宋体" w:hAnsi="宋体" w:eastAsia="宋体"/>
                <w:sz w:val="24"/>
                <w:szCs w:val="24"/>
                <w:highlight w:val="none"/>
              </w:rPr>
              <w:t>2</w:t>
            </w:r>
            <w:r>
              <w:rPr>
                <w:rFonts w:ascii="宋体" w:hAnsi="宋体" w:eastAsia="宋体"/>
                <w:sz w:val="24"/>
                <w:szCs w:val="24"/>
                <w:highlight w:val="none"/>
              </w:rPr>
              <w:t>023</w:t>
            </w:r>
            <w:r>
              <w:rPr>
                <w:rFonts w:hint="eastAsia" w:ascii="宋体" w:hAnsi="宋体" w:eastAsia="宋体"/>
                <w:sz w:val="24"/>
                <w:szCs w:val="24"/>
                <w:highlight w:val="none"/>
              </w:rPr>
              <w:t>年4月1</w:t>
            </w:r>
            <w:r>
              <w:rPr>
                <w:rFonts w:ascii="宋体" w:hAnsi="宋体" w:eastAsia="宋体"/>
                <w:sz w:val="24"/>
                <w:szCs w:val="24"/>
                <w:highlight w:val="none"/>
              </w:rPr>
              <w:t>1</w:t>
            </w:r>
            <w:r>
              <w:rPr>
                <w:rFonts w:hint="eastAsia" w:ascii="宋体" w:hAnsi="宋体" w:eastAsia="宋体"/>
                <w:sz w:val="24"/>
                <w:szCs w:val="24"/>
                <w:highlight w:val="none"/>
              </w:rPr>
              <w:t>日山东永聚医药科技有限公司医药包装产业基地技术升级改造项目竣工环境保护验收意见</w:t>
            </w:r>
            <w:r>
              <w:rPr>
                <w:rFonts w:hint="default"/>
                <w:sz w:val="24"/>
                <w:szCs w:val="24"/>
                <w:lang w:val="en-US" w:eastAsia="zh-CN"/>
              </w:rPr>
              <w:t>，</w:t>
            </w:r>
            <w:r>
              <w:rPr>
                <w:rFonts w:hint="eastAsia"/>
                <w:sz w:val="24"/>
                <w:szCs w:val="24"/>
                <w:lang w:val="en-US" w:eastAsia="zh-CN"/>
              </w:rPr>
              <w:t>经计算本项目建成后，全厂VOCs有组织排放量为1.2442t/a</w:t>
            </w:r>
            <w:r>
              <w:rPr>
                <w:rFonts w:hint="default"/>
                <w:sz w:val="24"/>
                <w:szCs w:val="24"/>
                <w:lang w:val="en-US" w:eastAsia="zh-CN"/>
              </w:rPr>
              <w:t>，满足</w:t>
            </w:r>
            <w:r>
              <w:rPr>
                <w:rFonts w:hint="eastAsia"/>
                <w:sz w:val="24"/>
                <w:szCs w:val="24"/>
                <w:lang w:val="en-US" w:eastAsia="zh-CN"/>
              </w:rPr>
              <w:t>本项目建成后</w:t>
            </w:r>
            <w:r>
              <w:rPr>
                <w:rFonts w:hint="eastAsia" w:ascii="宋体" w:hAnsi="宋体" w:eastAsia="宋体"/>
                <w:sz w:val="24"/>
                <w:szCs w:val="24"/>
              </w:rPr>
              <w:t>全厂VOCs总量指标</w:t>
            </w:r>
            <w:r>
              <w:rPr>
                <w:rFonts w:hint="default"/>
                <w:sz w:val="24"/>
                <w:szCs w:val="24"/>
                <w:lang w:val="en-US" w:eastAsia="zh-CN"/>
              </w:rPr>
              <w:t>。</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2）噪声监测结论</w:t>
            </w:r>
          </w:p>
          <w:p>
            <w:pPr>
              <w:pStyle w:val="18"/>
              <w:spacing w:after="0" w:line="360" w:lineRule="auto"/>
              <w:ind w:left="0" w:leftChars="0" w:firstLine="480"/>
              <w:jc w:val="both"/>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验收检测结果表明：厂区四个厂界昼间噪声最大值为</w:t>
            </w:r>
            <w:r>
              <w:rPr>
                <w:rFonts w:hint="default" w:ascii="Times New Roman" w:hAnsi="Times New Roman" w:cs="Times New Roman"/>
                <w:b w:val="0"/>
                <w:bCs w:val="0"/>
                <w:color w:val="auto"/>
                <w:sz w:val="24"/>
                <w:szCs w:val="24"/>
                <w:lang w:val="en-US" w:eastAsia="zh-CN"/>
              </w:rPr>
              <w:t>5</w:t>
            </w:r>
            <w:r>
              <w:rPr>
                <w:rFonts w:hint="eastAsia" w:cs="Times New Roman"/>
                <w:b w:val="0"/>
                <w:bCs w:val="0"/>
                <w:color w:val="auto"/>
                <w:sz w:val="24"/>
                <w:szCs w:val="24"/>
                <w:lang w:val="en-US" w:eastAsia="zh-CN"/>
              </w:rPr>
              <w:t>7.5</w:t>
            </w:r>
            <w:r>
              <w:rPr>
                <w:rFonts w:hint="default" w:ascii="Times New Roman" w:hAnsi="Times New Roman" w:cs="Times New Roman"/>
                <w:b w:val="0"/>
                <w:bCs w:val="0"/>
                <w:sz w:val="24"/>
                <w:szCs w:val="24"/>
              </w:rPr>
              <w:t>dB(A)</w:t>
            </w:r>
            <w:r>
              <w:rPr>
                <w:rFonts w:hint="default" w:ascii="Times New Roman" w:hAnsi="Times New Roman" w:cs="Times New Roman"/>
                <w:b w:val="0"/>
                <w:bCs w:val="0"/>
                <w:color w:val="auto"/>
                <w:sz w:val="24"/>
                <w:szCs w:val="24"/>
                <w:lang w:eastAsia="zh-CN"/>
              </w:rPr>
              <w:t>，夜间</w:t>
            </w:r>
            <w:r>
              <w:rPr>
                <w:rFonts w:hint="eastAsia" w:cs="Times New Roman"/>
                <w:b w:val="0"/>
                <w:bCs w:val="0"/>
                <w:color w:val="auto"/>
                <w:sz w:val="24"/>
                <w:szCs w:val="24"/>
                <w:lang w:val="en-US" w:eastAsia="zh-CN"/>
              </w:rPr>
              <w:t>噪声最大值47.3</w:t>
            </w:r>
            <w:r>
              <w:rPr>
                <w:rFonts w:hint="default" w:ascii="Times New Roman" w:hAnsi="Times New Roman" w:cs="Times New Roman"/>
                <w:b w:val="0"/>
                <w:bCs w:val="0"/>
                <w:sz w:val="24"/>
                <w:szCs w:val="24"/>
              </w:rPr>
              <w:t>dB(A)</w:t>
            </w:r>
            <w:r>
              <w:rPr>
                <w:rFonts w:hint="default" w:ascii="Times New Roman" w:hAnsi="Times New Roman" w:cs="Times New Roman"/>
                <w:b w:val="0"/>
                <w:bCs w:val="0"/>
                <w:color w:val="auto"/>
                <w:sz w:val="24"/>
                <w:szCs w:val="24"/>
                <w:lang w:eastAsia="zh-CN"/>
              </w:rPr>
              <w:t>，满足《工业企业厂界环境噪声排放标准》（GB12348-2008）中2类标准要求。</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3）废水</w:t>
            </w:r>
            <w:r>
              <w:rPr>
                <w:rFonts w:hint="default" w:ascii="Times New Roman" w:hAnsi="Times New Roman" w:cs="Times New Roman"/>
                <w:color w:val="auto"/>
                <w:sz w:val="24"/>
                <w:szCs w:val="24"/>
                <w:lang w:eastAsia="zh-CN"/>
              </w:rPr>
              <w:t>监测结论</w:t>
            </w:r>
          </w:p>
          <w:p>
            <w:pPr>
              <w:adjustRightInd w:val="0"/>
              <w:snapToGrid w:val="0"/>
              <w:spacing w:line="360" w:lineRule="auto"/>
              <w:ind w:firstLine="480" w:firstLineChars="200"/>
              <w:rPr>
                <w:rFonts w:hint="default" w:ascii="Times New Roman" w:hAnsi="Times New Roman" w:eastAsia="宋体"/>
                <w:sz w:val="24"/>
                <w:lang w:val="en-US" w:eastAsia="zh-CN"/>
              </w:rPr>
            </w:pPr>
            <w:r>
              <w:rPr>
                <w:rFonts w:ascii="Times New Roman" w:hAnsi="Times New Roman"/>
                <w:sz w:val="24"/>
              </w:rPr>
              <w:t>本项目</w:t>
            </w:r>
            <w:r>
              <w:rPr>
                <w:rFonts w:ascii="Times New Roman" w:hAnsi="Times New Roman" w:eastAsia="宋体"/>
                <w:sz w:val="24"/>
              </w:rPr>
              <w:t>废水主要为生活污水</w:t>
            </w:r>
            <w:r>
              <w:rPr>
                <w:rFonts w:hint="eastAsia" w:ascii="Times New Roman" w:hAnsi="Times New Roman" w:eastAsia="宋体"/>
                <w:sz w:val="24"/>
                <w:lang w:eastAsia="zh-CN"/>
              </w:rPr>
              <w:t>，</w:t>
            </w:r>
            <w:r>
              <w:rPr>
                <w:rFonts w:hint="eastAsia" w:ascii="Times New Roman" w:hAnsi="Times New Roman" w:eastAsia="宋体"/>
                <w:sz w:val="24"/>
                <w:lang w:val="en-US" w:eastAsia="zh-CN"/>
              </w:rPr>
              <w:t>生活污水经</w:t>
            </w:r>
            <w:r>
              <w:rPr>
                <w:rFonts w:ascii="Times New Roman" w:hAnsi="Times New Roman" w:eastAsia="宋体"/>
                <w:sz w:val="24"/>
              </w:rPr>
              <w:t>化粪池处理后</w:t>
            </w:r>
            <w:r>
              <w:rPr>
                <w:rFonts w:hint="default" w:ascii="Times New Roman" w:hAnsi="Times New Roman" w:eastAsia="宋体"/>
                <w:sz w:val="24"/>
              </w:rPr>
              <w:t>经</w:t>
            </w:r>
            <w:r>
              <w:rPr>
                <w:rFonts w:hint="eastAsia" w:ascii="Times New Roman" w:hAnsi="Times New Roman" w:eastAsia="宋体"/>
                <w:sz w:val="24"/>
                <w:lang w:eastAsia="zh-CN"/>
              </w:rPr>
              <w:t>市政污水管网排入齐城污水处理厂</w:t>
            </w:r>
            <w:r>
              <w:rPr>
                <w:rFonts w:hint="eastAsia" w:ascii="Times New Roman" w:hAnsi="Times New Roman" w:eastAsia="宋体"/>
                <w:sz w:val="24"/>
                <w:lang w:val="en-US" w:eastAsia="zh-CN"/>
              </w:rPr>
              <w:t>深度处理。</w:t>
            </w: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cs="Times New Roman"/>
                <w:color w:val="auto"/>
                <w:sz w:val="24"/>
                <w:szCs w:val="24"/>
                <w:lang w:val="en-US" w:eastAsia="zh-CN"/>
              </w:rPr>
            </w:pPr>
            <w:r>
              <w:rPr>
                <w:rFonts w:hint="default" w:ascii="Times New Roman" w:hAnsi="Times New Roman" w:cs="Times New Roman"/>
                <w:b w:val="0"/>
                <w:bCs w:val="0"/>
                <w:color w:val="auto"/>
                <w:sz w:val="24"/>
                <w:szCs w:val="24"/>
                <w:lang w:eastAsia="zh-CN"/>
              </w:rPr>
              <w:t>验收检测结果表明</w:t>
            </w:r>
            <w:r>
              <w:rPr>
                <w:rFonts w:hint="eastAsia" w:ascii="Times New Roman" w:hAnsi="Times New Roman" w:cs="Times New Roman"/>
                <w:b w:val="0"/>
                <w:bCs w:val="0"/>
                <w:color w:val="auto"/>
                <w:sz w:val="24"/>
                <w:szCs w:val="24"/>
                <w:lang w:eastAsia="zh-CN"/>
              </w:rPr>
              <w:t>：</w:t>
            </w:r>
            <w:r>
              <w:rPr>
                <w:rFonts w:hint="default"/>
                <w:sz w:val="24"/>
                <w:szCs w:val="24"/>
                <w:lang w:val="en-US" w:eastAsia="zh-CN"/>
              </w:rPr>
              <w:t>厂区污水总排口废水pH</w:t>
            </w:r>
            <w:r>
              <w:rPr>
                <w:rFonts w:hint="eastAsia"/>
                <w:sz w:val="24"/>
                <w:szCs w:val="24"/>
                <w:lang w:val="en-US" w:eastAsia="zh-CN"/>
              </w:rPr>
              <w:t>最大</w:t>
            </w:r>
            <w:r>
              <w:rPr>
                <w:rFonts w:hint="default"/>
                <w:sz w:val="24"/>
                <w:szCs w:val="24"/>
                <w:lang w:val="en-US" w:eastAsia="zh-CN"/>
              </w:rPr>
              <w:t>值为</w:t>
            </w:r>
            <w:r>
              <w:rPr>
                <w:rFonts w:hint="eastAsia"/>
                <w:sz w:val="24"/>
                <w:szCs w:val="24"/>
                <w:lang w:val="en-US" w:eastAsia="zh-CN"/>
              </w:rPr>
              <w:t>8.4</w:t>
            </w:r>
            <w:r>
              <w:rPr>
                <w:rFonts w:hint="default"/>
                <w:sz w:val="24"/>
                <w:szCs w:val="24"/>
                <w:lang w:val="en-US" w:eastAsia="zh-CN"/>
              </w:rPr>
              <w:t>（无量纲）、悬浮物</w:t>
            </w:r>
            <w:r>
              <w:rPr>
                <w:rFonts w:hint="eastAsia"/>
                <w:sz w:val="24"/>
                <w:szCs w:val="24"/>
                <w:lang w:val="en-US" w:eastAsia="zh-CN"/>
              </w:rPr>
              <w:t>排放浓度最大值为51</w:t>
            </w:r>
            <w:r>
              <w:rPr>
                <w:rFonts w:hint="default"/>
                <w:sz w:val="24"/>
                <w:szCs w:val="24"/>
                <w:lang w:val="en-US" w:eastAsia="zh-CN"/>
              </w:rPr>
              <w:t>mg/L、</w:t>
            </w:r>
            <w:r>
              <w:rPr>
                <w:rFonts w:hint="eastAsia"/>
                <w:sz w:val="24"/>
                <w:szCs w:val="24"/>
                <w:lang w:val="en-US" w:eastAsia="zh-CN"/>
              </w:rPr>
              <w:t>化学需氧量（</w:t>
            </w:r>
            <w:r>
              <w:rPr>
                <w:rFonts w:hint="default"/>
                <w:sz w:val="24"/>
                <w:szCs w:val="24"/>
                <w:lang w:val="en-US" w:eastAsia="zh-CN"/>
              </w:rPr>
              <w:t>CODcr</w:t>
            </w:r>
            <w:r>
              <w:rPr>
                <w:rFonts w:hint="eastAsia"/>
                <w:sz w:val="24"/>
                <w:szCs w:val="24"/>
                <w:lang w:val="en-US" w:eastAsia="zh-CN"/>
              </w:rPr>
              <w:t>）排放浓度最大值</w:t>
            </w:r>
            <w:r>
              <w:rPr>
                <w:rFonts w:hint="default"/>
                <w:sz w:val="24"/>
                <w:szCs w:val="24"/>
                <w:lang w:val="en-US" w:eastAsia="zh-CN"/>
              </w:rPr>
              <w:t>为</w:t>
            </w:r>
            <w:r>
              <w:rPr>
                <w:rFonts w:hint="eastAsia"/>
                <w:sz w:val="24"/>
                <w:szCs w:val="24"/>
                <w:lang w:val="en-US" w:eastAsia="zh-CN"/>
              </w:rPr>
              <w:t>48</w:t>
            </w:r>
            <w:r>
              <w:rPr>
                <w:rFonts w:hint="default"/>
                <w:sz w:val="24"/>
                <w:szCs w:val="24"/>
                <w:lang w:val="en-US" w:eastAsia="zh-CN"/>
              </w:rPr>
              <w:t>mg/L、</w:t>
            </w:r>
            <w:r>
              <w:rPr>
                <w:rFonts w:hint="eastAsia"/>
                <w:sz w:val="24"/>
                <w:szCs w:val="24"/>
                <w:lang w:val="en-US" w:eastAsia="zh-CN"/>
              </w:rPr>
              <w:t>生化需氧量（</w:t>
            </w:r>
            <w:r>
              <w:rPr>
                <w:rFonts w:hint="default"/>
                <w:sz w:val="24"/>
                <w:szCs w:val="24"/>
                <w:lang w:val="en-US" w:eastAsia="zh-CN"/>
              </w:rPr>
              <w:t>BOD</w:t>
            </w:r>
            <w:r>
              <w:rPr>
                <w:rFonts w:hint="default"/>
                <w:sz w:val="24"/>
                <w:szCs w:val="24"/>
                <w:vertAlign w:val="subscript"/>
                <w:lang w:val="en-US" w:eastAsia="zh-CN"/>
              </w:rPr>
              <w:t>5</w:t>
            </w:r>
            <w:r>
              <w:rPr>
                <w:rFonts w:hint="eastAsia"/>
                <w:sz w:val="24"/>
                <w:szCs w:val="24"/>
                <w:vertAlign w:val="baseline"/>
                <w:lang w:val="en-US" w:eastAsia="zh-CN"/>
              </w:rPr>
              <w:t>）</w:t>
            </w:r>
            <w:r>
              <w:rPr>
                <w:rFonts w:hint="eastAsia"/>
                <w:sz w:val="24"/>
                <w:szCs w:val="24"/>
                <w:lang w:val="en-US" w:eastAsia="zh-CN"/>
              </w:rPr>
              <w:t>排放浓度最大值</w:t>
            </w:r>
            <w:r>
              <w:rPr>
                <w:rFonts w:hint="default"/>
                <w:sz w:val="24"/>
                <w:szCs w:val="24"/>
                <w:lang w:val="en-US" w:eastAsia="zh-CN"/>
              </w:rPr>
              <w:t>为</w:t>
            </w:r>
            <w:r>
              <w:rPr>
                <w:rFonts w:hint="eastAsia"/>
                <w:sz w:val="24"/>
                <w:szCs w:val="24"/>
                <w:lang w:val="en-US" w:eastAsia="zh-CN"/>
              </w:rPr>
              <w:t>31.6</w:t>
            </w:r>
            <w:r>
              <w:rPr>
                <w:rFonts w:hint="default"/>
                <w:sz w:val="24"/>
                <w:szCs w:val="24"/>
                <w:lang w:val="en-US" w:eastAsia="zh-CN"/>
              </w:rPr>
              <w:t>mg/L、氨氮</w:t>
            </w:r>
            <w:r>
              <w:rPr>
                <w:rFonts w:hint="eastAsia"/>
                <w:sz w:val="24"/>
                <w:szCs w:val="24"/>
                <w:lang w:val="en-US" w:eastAsia="zh-CN"/>
              </w:rPr>
              <w:t>排放浓度最大值</w:t>
            </w:r>
            <w:r>
              <w:rPr>
                <w:rFonts w:hint="default"/>
                <w:sz w:val="24"/>
                <w:szCs w:val="24"/>
                <w:lang w:val="en-US" w:eastAsia="zh-CN"/>
              </w:rPr>
              <w:t>为</w:t>
            </w:r>
            <w:r>
              <w:rPr>
                <w:rFonts w:hint="eastAsia"/>
                <w:sz w:val="24"/>
                <w:szCs w:val="24"/>
                <w:lang w:val="en-US" w:eastAsia="zh-CN"/>
              </w:rPr>
              <w:t>34</w:t>
            </w:r>
            <w:r>
              <w:rPr>
                <w:rFonts w:hint="default"/>
                <w:sz w:val="24"/>
                <w:szCs w:val="24"/>
                <w:lang w:val="en-US" w:eastAsia="zh-CN"/>
              </w:rPr>
              <w:t>mg/L，</w:t>
            </w:r>
            <w:r>
              <w:rPr>
                <w:rFonts w:hint="eastAsia"/>
                <w:sz w:val="24"/>
                <w:szCs w:val="24"/>
                <w:lang w:val="en-US" w:eastAsia="zh-CN"/>
              </w:rPr>
              <w:t>废水中各污染物排放浓度</w:t>
            </w:r>
            <w:r>
              <w:rPr>
                <w:rFonts w:hint="default"/>
                <w:sz w:val="24"/>
                <w:szCs w:val="24"/>
                <w:lang w:val="en-US" w:eastAsia="zh-CN"/>
              </w:rPr>
              <w:t>能够</w:t>
            </w:r>
            <w:r>
              <w:rPr>
                <w:rFonts w:hint="eastAsia"/>
                <w:sz w:val="24"/>
                <w:szCs w:val="24"/>
                <w:lang w:val="en-US" w:eastAsia="zh-CN"/>
              </w:rPr>
              <w:t>满足</w:t>
            </w:r>
            <w:r>
              <w:rPr>
                <w:rFonts w:hint="default"/>
                <w:sz w:val="24"/>
                <w:szCs w:val="24"/>
                <w:lang w:val="en-US" w:eastAsia="zh-CN"/>
              </w:rPr>
              <w:t>《污水综合排放标准》（GB8978-1996）表4中三级标准及齐城污水处理厂进水水质要求。</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4</w:t>
            </w:r>
            <w:r>
              <w:rPr>
                <w:rFonts w:hint="default" w:ascii="Times New Roman" w:hAnsi="Times New Roman" w:cs="Times New Roman"/>
                <w:color w:val="auto"/>
                <w:sz w:val="24"/>
                <w:szCs w:val="24"/>
                <w:lang w:eastAsia="zh-CN"/>
              </w:rPr>
              <w:t>）固废调查结论</w:t>
            </w:r>
          </w:p>
          <w:p>
            <w:pPr>
              <w:adjustRightInd w:val="0"/>
              <w:snapToGrid w:val="0"/>
              <w:spacing w:line="360" w:lineRule="auto"/>
              <w:ind w:firstLine="480" w:firstLineChars="200"/>
              <w:jc w:val="both"/>
              <w:rPr>
                <w:rFonts w:hint="default" w:ascii="Times New Roman" w:hAnsi="Times New Roman" w:cs="Times New Roman"/>
                <w:color w:val="auto"/>
                <w:lang w:eastAsia="zh-CN"/>
              </w:rPr>
            </w:pPr>
            <w:r>
              <w:rPr>
                <w:rFonts w:hint="default" w:ascii="Times New Roman" w:hAnsi="Times New Roman" w:cs="Times New Roman"/>
                <w:color w:val="auto"/>
                <w:sz w:val="24"/>
                <w:szCs w:val="24"/>
                <w:highlight w:val="none"/>
                <w:lang w:eastAsia="zh-CN"/>
              </w:rPr>
              <w:t>根据验收报告调研，未发现超标排放情况。项目产生的固体废物均得到有效处置</w:t>
            </w:r>
            <w:r>
              <w:rPr>
                <w:rFonts w:hint="default" w:ascii="Times New Roman" w:hAnsi="Times New Roman" w:cs="Times New Roman"/>
                <w:color w:val="auto"/>
                <w:sz w:val="24"/>
                <w:szCs w:val="24"/>
                <w:lang w:val="en-US" w:eastAsia="zh-CN"/>
              </w:rPr>
              <w:t>。</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5</w:t>
            </w:r>
            <w:r>
              <w:rPr>
                <w:rFonts w:hint="default" w:ascii="Times New Roman" w:hAnsi="Times New Roman" w:cs="Times New Roman"/>
                <w:color w:val="auto"/>
                <w:sz w:val="24"/>
                <w:szCs w:val="24"/>
                <w:lang w:eastAsia="zh-CN"/>
              </w:rPr>
              <w:t>）环评批复落实情况调查结论</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通过对</w:t>
            </w:r>
            <w:r>
              <w:rPr>
                <w:rFonts w:hint="default" w:ascii="Times New Roman" w:hAnsi="Times New Roman" w:cs="Times New Roman"/>
                <w:color w:val="auto"/>
                <w:sz w:val="24"/>
                <w:szCs w:val="24"/>
                <w:lang w:val="en-US" w:eastAsia="zh-CN"/>
              </w:rPr>
              <w:t>山东永聚医药科技股份有限公司</w:t>
            </w:r>
            <w:r>
              <w:rPr>
                <w:rFonts w:hint="default" w:ascii="Times New Roman" w:hAnsi="Times New Roman" w:cs="Times New Roman"/>
                <w:color w:val="auto"/>
                <w:sz w:val="24"/>
                <w:szCs w:val="24"/>
                <w:lang w:eastAsia="zh-CN"/>
              </w:rPr>
              <w:t>的现场调查，环评批复要求基本得到落实。</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6</w:t>
            </w:r>
            <w:r>
              <w:rPr>
                <w:rFonts w:hint="default" w:ascii="Times New Roman" w:hAnsi="Times New Roman" w:cs="Times New Roman"/>
                <w:color w:val="auto"/>
                <w:sz w:val="24"/>
                <w:szCs w:val="24"/>
                <w:lang w:eastAsia="zh-CN"/>
              </w:rPr>
              <w:t>）环保管理检查结论</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该项目已按国家有关建设项目环境管理法规要求，进行了环境影响评价，工程相应的环保设施与主体工程同时设计、同时施工、同时投入使用，较好的执行了</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三同时</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项目已设置企业负责人为环保管理人员，制定了环保管理制度，环保档案齐全。</w:t>
            </w:r>
          </w:p>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10.3验收结论</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按照《建设项目竣工环境保护验收暂行办法》规定要求，验收组对本项目所涉及的所有资料和现场情况进行了认真核查，并进行了详细分析和讨论，专家组一致认为该项目可以满足项目竣工环境保护验收标准要求，达到了验收合格标准，同意通过验收。</w:t>
            </w:r>
          </w:p>
          <w:p>
            <w:pPr>
              <w:spacing w:line="360" w:lineRule="auto"/>
              <w:jc w:val="both"/>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10.4 建议</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1、做好生产运营管理，加强日常的环境管理与监督，严禁环保设施故障下生产。建立主要生产设备台账，并在生产运营期如实记录设备运行记录；</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2、根据《企业信息公开管理办法》（环保部31号令）完善企业环境保护信息公示制度，明确环保责任人及联系电话；</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3、建立企业环境保护监测计划；</w:t>
            </w:r>
          </w:p>
          <w:p>
            <w:pPr>
              <w:spacing w:line="360" w:lineRule="auto"/>
              <w:ind w:firstLine="480" w:firstLineChars="200"/>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4、做好环境应急预案的学习与演练，提高应急响应能力，降低环境事故风险。</w:t>
            </w:r>
          </w:p>
          <w:p>
            <w:pPr>
              <w:spacing w:line="360" w:lineRule="auto"/>
              <w:ind w:firstLine="480" w:firstLineChars="200"/>
              <w:jc w:val="both"/>
              <w:rPr>
                <w:rFonts w:hint="default" w:ascii="Times New Roman" w:hAnsi="Times New Roman" w:cs="Times New Roman"/>
                <w:color w:val="0000FF"/>
                <w:sz w:val="24"/>
                <w:szCs w:val="24"/>
                <w:lang w:eastAsia="zh-CN"/>
              </w:rPr>
            </w:pPr>
            <w:r>
              <w:rPr>
                <w:rFonts w:hint="eastAsia" w:cs="Times New Roman"/>
                <w:color w:val="auto"/>
                <w:sz w:val="24"/>
                <w:szCs w:val="24"/>
                <w:lang w:val="en-US" w:eastAsia="zh-CN"/>
              </w:rPr>
              <w:t>5</w:t>
            </w:r>
            <w:r>
              <w:rPr>
                <w:rFonts w:hint="default" w:ascii="Times New Roman" w:hAnsi="Times New Roman" w:cs="Times New Roman"/>
                <w:color w:val="auto"/>
                <w:sz w:val="24"/>
                <w:szCs w:val="24"/>
                <w:lang w:eastAsia="zh-CN"/>
              </w:rPr>
              <w:t>、将环境管理纳入到日常生产过程中，提高原材料的利用效率，减少资源浪费</w:t>
            </w:r>
            <w:r>
              <w:rPr>
                <w:rFonts w:hint="default" w:ascii="Times New Roman" w:hAnsi="Times New Roman" w:cs="Times New Roman"/>
                <w:color w:val="0000FF"/>
                <w:sz w:val="24"/>
                <w:szCs w:val="24"/>
                <w:lang w:eastAsia="zh-CN"/>
              </w:rPr>
              <w:t>。</w:t>
            </w:r>
          </w:p>
          <w:p>
            <w:pPr>
              <w:spacing w:line="360" w:lineRule="auto"/>
              <w:ind w:firstLine="480" w:firstLineChars="200"/>
              <w:jc w:val="both"/>
              <w:rPr>
                <w:rFonts w:hint="default" w:ascii="Times New Roman" w:hAnsi="Times New Roman" w:cs="Times New Roman"/>
                <w:color w:val="0000FF"/>
                <w:sz w:val="24"/>
                <w:szCs w:val="24"/>
                <w:lang w:eastAsia="zh-CN"/>
              </w:rPr>
            </w:pPr>
          </w:p>
          <w:p>
            <w:pPr>
              <w:spacing w:line="360" w:lineRule="auto"/>
              <w:ind w:firstLine="480" w:firstLineChars="200"/>
              <w:jc w:val="both"/>
              <w:rPr>
                <w:rFonts w:hint="default" w:ascii="Times New Roman" w:hAnsi="Times New Roman" w:cs="Times New Roman"/>
                <w:color w:val="0000FF"/>
                <w:sz w:val="24"/>
                <w:szCs w:val="24"/>
                <w:lang w:eastAsia="zh-CN"/>
              </w:rPr>
            </w:pPr>
          </w:p>
          <w:p>
            <w:pPr>
              <w:spacing w:line="360" w:lineRule="auto"/>
              <w:ind w:firstLine="480" w:firstLineChars="200"/>
              <w:jc w:val="both"/>
              <w:rPr>
                <w:rFonts w:hint="default" w:ascii="Times New Roman" w:hAnsi="Times New Roman" w:cs="Times New Roman"/>
                <w:color w:val="0000FF"/>
                <w:sz w:val="24"/>
                <w:szCs w:val="24"/>
                <w:lang w:eastAsia="zh-CN"/>
              </w:rPr>
            </w:pPr>
          </w:p>
          <w:p>
            <w:pPr>
              <w:spacing w:line="360" w:lineRule="auto"/>
              <w:ind w:firstLine="480" w:firstLineChars="200"/>
              <w:jc w:val="both"/>
              <w:rPr>
                <w:rFonts w:hint="default" w:ascii="Times New Roman" w:hAnsi="Times New Roman" w:cs="Times New Roman"/>
                <w:color w:val="0000FF"/>
                <w:sz w:val="24"/>
                <w:szCs w:val="24"/>
                <w:lang w:eastAsia="zh-CN"/>
              </w:rPr>
            </w:pPr>
          </w:p>
          <w:p>
            <w:pPr>
              <w:spacing w:line="360" w:lineRule="auto"/>
              <w:ind w:firstLine="480" w:firstLineChars="200"/>
              <w:jc w:val="both"/>
              <w:rPr>
                <w:rFonts w:hint="default" w:ascii="Times New Roman" w:hAnsi="Times New Roman" w:cs="Times New Roman"/>
                <w:color w:val="0000FF"/>
                <w:sz w:val="24"/>
                <w:szCs w:val="24"/>
                <w:lang w:eastAsia="zh-CN"/>
              </w:rPr>
            </w:pPr>
          </w:p>
          <w:p>
            <w:pPr>
              <w:spacing w:line="360" w:lineRule="auto"/>
              <w:ind w:firstLine="480" w:firstLineChars="200"/>
              <w:jc w:val="both"/>
              <w:rPr>
                <w:rFonts w:hint="default" w:ascii="Times New Roman" w:hAnsi="Times New Roman" w:cs="Times New Roman"/>
                <w:color w:val="0000FF"/>
                <w:sz w:val="24"/>
                <w:szCs w:val="24"/>
                <w:lang w:eastAsia="zh-CN"/>
              </w:rPr>
            </w:pPr>
          </w:p>
        </w:tc>
      </w:tr>
    </w:tbl>
    <w:p>
      <w:pPr>
        <w:pStyle w:val="2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right"/>
        <w:textAlignment w:val="auto"/>
        <w:outlineLvl w:val="9"/>
        <w:rPr>
          <w:rFonts w:hint="default"/>
          <w:lang w:eastAsia="zh-CN"/>
        </w:rPr>
      </w:pPr>
      <w:bookmarkStart w:id="10" w:name="_GoBack"/>
      <w:bookmarkEnd w:id="10"/>
    </w:p>
    <w:sectPr>
      <w:headerReference r:id="rId5" w:type="default"/>
      <w:footerReference r:id="rId6" w:type="default"/>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rtlGutter w:val="0"/>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2">
    <w:panose1 w:val="05020102010507070707"/>
    <w:charset w:val="02"/>
    <w:family w:val="auto"/>
    <w:pitch w:val="default"/>
    <w:sig w:usb0="00000000" w:usb1="00000000" w:usb2="00000000" w:usb3="00000000" w:csb0="80000000" w:csb1="00000000"/>
  </w:font>
  <w:font w:name="方正小标宋简体">
    <w:altName w:val="黑体"/>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Times New Roman" w:hAnsi="Times New Roman" w:eastAsia="宋体" w:cs="Times New Roman"/>
        <w:kern w:val="2"/>
        <w:sz w:val="24"/>
        <w:szCs w:val="24"/>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0" distR="0" simplePos="0" relativeHeight="251659264" behindDoc="1" locked="0" layoutInCell="1" allowOverlap="1">
              <wp:simplePos x="0" y="0"/>
              <wp:positionH relativeFrom="page">
                <wp:posOffset>3420745</wp:posOffset>
              </wp:positionH>
              <wp:positionV relativeFrom="page">
                <wp:posOffset>10034270</wp:posOffset>
              </wp:positionV>
              <wp:extent cx="719455" cy="214630"/>
              <wp:effectExtent l="0" t="0" r="0" b="0"/>
              <wp:wrapNone/>
              <wp:docPr id="4097" name="文本框 3"/>
              <wp:cNvGraphicFramePr/>
              <a:graphic xmlns:a="http://schemas.openxmlformats.org/drawingml/2006/main">
                <a:graphicData uri="http://schemas.microsoft.com/office/word/2010/wordprocessingShape">
                  <wps:wsp>
                    <wps:cNvSpPr/>
                    <wps:spPr>
                      <a:xfrm>
                        <a:off x="0" y="0"/>
                        <a:ext cx="719454" cy="214630"/>
                      </a:xfrm>
                      <a:prstGeom prst="rect">
                        <a:avLst/>
                      </a:prstGeom>
                      <a:ln>
                        <a:noFill/>
                      </a:ln>
                    </wps:spPr>
                    <wps:txbx>
                      <w:txbxContent>
                        <w:p>
                          <w:pPr>
                            <w:tabs>
                              <w:tab w:val="left" w:pos="831"/>
                            </w:tabs>
                            <w:spacing w:line="318" w:lineRule="exact"/>
                            <w:ind w:left="20"/>
                            <w:rPr>
                              <w:sz w:val="28"/>
                            </w:rPr>
                          </w:pPr>
                          <w:r>
                            <w:rPr>
                              <w:sz w:val="28"/>
                            </w:rPr>
                            <w:t>—</w:t>
                          </w:r>
                          <w:r>
                            <w:rPr>
                              <w:rFonts w:hint="default" w:ascii="Times New Roman" w:hAnsi="Times New Roman" w:cs="Times New Roman"/>
                              <w:sz w:val="21"/>
                              <w:szCs w:val="21"/>
                            </w:rPr>
                            <w:fldChar w:fldCharType="begin"/>
                          </w:r>
                          <w:r>
                            <w:rPr>
                              <w:rFonts w:hint="default" w:ascii="Times New Roman" w:hAnsi="Times New Roman" w:cs="Times New Roman"/>
                              <w:sz w:val="24"/>
                              <w:szCs w:val="21"/>
                            </w:rPr>
                            <w:instrText xml:space="preserve"> PAGE </w:instrText>
                          </w:r>
                          <w:r>
                            <w:rPr>
                              <w:rFonts w:hint="default" w:ascii="Times New Roman" w:hAnsi="Times New Roman" w:cs="Times New Roman"/>
                              <w:sz w:val="21"/>
                              <w:szCs w:val="21"/>
                            </w:rPr>
                            <w:fldChar w:fldCharType="separate"/>
                          </w:r>
                          <w:r>
                            <w:rPr>
                              <w:rFonts w:hint="default" w:ascii="Times New Roman" w:hAnsi="Times New Roman" w:cs="Times New Roman"/>
                              <w:sz w:val="24"/>
                              <w:szCs w:val="21"/>
                            </w:rPr>
                            <w:t>41</w:t>
                          </w:r>
                          <w:r>
                            <w:rPr>
                              <w:rFonts w:hint="default" w:ascii="Times New Roman" w:hAnsi="Times New Roman" w:cs="Times New Roman"/>
                              <w:sz w:val="21"/>
                              <w:szCs w:val="21"/>
                            </w:rPr>
                            <w:fldChar w:fldCharType="end"/>
                          </w:r>
                          <w:r>
                            <w:rPr>
                              <w:sz w:val="28"/>
                            </w:rPr>
                            <w:t>—</w:t>
                          </w:r>
                        </w:p>
                      </w:txbxContent>
                    </wps:txbx>
                    <wps:bodyPr lIns="0" tIns="0" rIns="0" bIns="0" upright="1"/>
                  </wps:wsp>
                </a:graphicData>
              </a:graphic>
            </wp:anchor>
          </w:drawing>
        </mc:Choice>
        <mc:Fallback>
          <w:pict>
            <v:rect id="文本框 3" o:spid="_x0000_s1026" o:spt="1" style="position:absolute;left:0pt;margin-left:269.35pt;margin-top:790.1pt;height:16.9pt;width:56.65pt;mso-position-horizontal-relative:page;mso-position-vertical-relative:page;z-index:-251657216;mso-width-relative:page;mso-height-relative:page;" filled="f" stroked="f" coordsize="21600,21600" o:gfxdata="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XHrI9wAAAANAQAADwAAAAAAAAABACAAAAAiAAAAZHJzL2Rvd25yZXYueG1sUEsBAhQA&#10;FAAAAAgAh07iQK1n3Ha1AQAAXwMAAA4AAAAAAAAAAQAgAAAAKwEAAGRycy9lMm9Eb2MueG1sUEsF&#10;BgAAAAAGAAYAWQEAAFIFAAAAAA==&#10;">
              <v:fill on="f" focussize="0,0"/>
              <v:stroke on="f"/>
              <v:imagedata o:title=""/>
              <o:lock v:ext="edit" aspectratio="f"/>
              <v:textbox inset="0mm,0mm,0mm,0mm">
                <w:txbxContent>
                  <w:p>
                    <w:pPr>
                      <w:tabs>
                        <w:tab w:val="left" w:pos="831"/>
                      </w:tabs>
                      <w:spacing w:line="318" w:lineRule="exact"/>
                      <w:ind w:left="20"/>
                      <w:rPr>
                        <w:sz w:val="28"/>
                      </w:rPr>
                    </w:pPr>
                    <w:r>
                      <w:rPr>
                        <w:sz w:val="28"/>
                      </w:rPr>
                      <w:t>—</w:t>
                    </w:r>
                    <w:r>
                      <w:rPr>
                        <w:rFonts w:hint="default" w:ascii="Times New Roman" w:hAnsi="Times New Roman" w:cs="Times New Roman"/>
                        <w:sz w:val="21"/>
                        <w:szCs w:val="21"/>
                      </w:rPr>
                      <w:fldChar w:fldCharType="begin"/>
                    </w:r>
                    <w:r>
                      <w:rPr>
                        <w:rFonts w:hint="default" w:ascii="Times New Roman" w:hAnsi="Times New Roman" w:cs="Times New Roman"/>
                        <w:sz w:val="24"/>
                        <w:szCs w:val="21"/>
                      </w:rPr>
                      <w:instrText xml:space="preserve"> PAGE </w:instrText>
                    </w:r>
                    <w:r>
                      <w:rPr>
                        <w:rFonts w:hint="default" w:ascii="Times New Roman" w:hAnsi="Times New Roman" w:cs="Times New Roman"/>
                        <w:sz w:val="21"/>
                        <w:szCs w:val="21"/>
                      </w:rPr>
                      <w:fldChar w:fldCharType="separate"/>
                    </w:r>
                    <w:r>
                      <w:rPr>
                        <w:rFonts w:hint="default" w:ascii="Times New Roman" w:hAnsi="Times New Roman" w:cs="Times New Roman"/>
                        <w:sz w:val="24"/>
                        <w:szCs w:val="21"/>
                      </w:rPr>
                      <w:t>41</w:t>
                    </w:r>
                    <w:r>
                      <w:rPr>
                        <w:rFonts w:hint="default" w:ascii="Times New Roman" w:hAnsi="Times New Roman" w:cs="Times New Roman"/>
                        <w:sz w:val="21"/>
                        <w:szCs w:val="21"/>
                      </w:rPr>
                      <w:fldChar w:fldCharType="end"/>
                    </w:r>
                    <w:r>
                      <w:rPr>
                        <w:sz w:val="28"/>
                      </w:rPr>
                      <w:t>—</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1"/>
    <w:multiLevelType w:val="singleLevel"/>
    <w:tmpl w:val="00000001"/>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2">
    <w:nsid w:val="00000002"/>
    <w:multiLevelType w:val="multilevel"/>
    <w:tmpl w:val="00000002"/>
    <w:lvl w:ilvl="0" w:tentative="0">
      <w:start w:val="1"/>
      <w:numFmt w:val="decimal"/>
      <w:pStyle w:val="2"/>
      <w:lvlText w:val="%1."/>
      <w:lvlJc w:val="left"/>
      <w:pPr>
        <w:tabs>
          <w:tab w:val="left" w:pos="0"/>
        </w:tabs>
        <w:ind w:left="0" w:firstLine="0"/>
      </w:pPr>
      <w:rPr>
        <w:rFonts w:hint="eastAsia"/>
      </w:rPr>
    </w:lvl>
    <w:lvl w:ilvl="1" w:tentative="0">
      <w:start w:val="1"/>
      <w:numFmt w:val="decimal"/>
      <w:lvlText w:val="%1.%2."/>
      <w:lvlJc w:val="left"/>
      <w:pPr>
        <w:tabs>
          <w:tab w:val="left" w:pos="0"/>
        </w:tabs>
        <w:ind w:left="0" w:firstLine="0"/>
      </w:pPr>
      <w:rPr>
        <w:rFonts w:hint="eastAsia"/>
      </w:rPr>
    </w:lvl>
    <w:lvl w:ilvl="2" w:tentative="0">
      <w:start w:val="1"/>
      <w:numFmt w:val="decimal"/>
      <w:lvlText w:val="%1.%2.%3."/>
      <w:lvlJc w:val="left"/>
      <w:pPr>
        <w:tabs>
          <w:tab w:val="left" w:pos="200"/>
        </w:tabs>
        <w:ind w:left="0" w:firstLine="0"/>
      </w:pPr>
      <w:rPr>
        <w:rFonts w:hint="eastAsia"/>
      </w:rPr>
    </w:lvl>
    <w:lvl w:ilvl="3" w:tentative="0">
      <w:start w:val="1"/>
      <w:numFmt w:val="decimal"/>
      <w:lvlText w:val="%1.%2.%3.%4."/>
      <w:lvlJc w:val="left"/>
      <w:pPr>
        <w:tabs>
          <w:tab w:val="left" w:pos="2835"/>
        </w:tabs>
        <w:ind w:left="2835" w:firstLine="0"/>
      </w:pPr>
    </w:lvl>
    <w:lvl w:ilvl="4" w:tentative="0">
      <w:start w:val="1"/>
      <w:numFmt w:val="decimal"/>
      <w:lvlText w:val="%1.%2.%3.%4.%5."/>
      <w:lvlJc w:val="left"/>
      <w:pPr>
        <w:tabs>
          <w:tab w:val="left" w:pos="1192"/>
        </w:tabs>
        <w:ind w:left="1192" w:hanging="992"/>
      </w:pPr>
      <w:rPr>
        <w:rFonts w:hint="eastAsia"/>
      </w:rPr>
    </w:lvl>
    <w:lvl w:ilvl="5" w:tentative="0">
      <w:start w:val="1"/>
      <w:numFmt w:val="decimal"/>
      <w:lvlText w:val="%1.%2.%3.%4.%5.%6."/>
      <w:lvlJc w:val="left"/>
      <w:pPr>
        <w:tabs>
          <w:tab w:val="left" w:pos="1334"/>
        </w:tabs>
        <w:ind w:left="1334" w:hanging="1134"/>
      </w:pPr>
      <w:rPr>
        <w:rFonts w:hint="eastAsia"/>
      </w:rPr>
    </w:lvl>
    <w:lvl w:ilvl="6" w:tentative="0">
      <w:start w:val="1"/>
      <w:numFmt w:val="decimal"/>
      <w:lvlText w:val="%1.%2.%3.%4.%5.%6.%7."/>
      <w:lvlJc w:val="left"/>
      <w:pPr>
        <w:tabs>
          <w:tab w:val="left" w:pos="1476"/>
        </w:tabs>
        <w:ind w:left="1476" w:hanging="1276"/>
      </w:pPr>
      <w:rPr>
        <w:rFonts w:hint="eastAsia"/>
      </w:rPr>
    </w:lvl>
    <w:lvl w:ilvl="7" w:tentative="0">
      <w:start w:val="1"/>
      <w:numFmt w:val="decimal"/>
      <w:lvlText w:val="%1.%2.%3.%4.%5.%6.%7.%8."/>
      <w:lvlJc w:val="left"/>
      <w:pPr>
        <w:tabs>
          <w:tab w:val="left" w:pos="1618"/>
        </w:tabs>
        <w:ind w:left="1618" w:hanging="1418"/>
      </w:pPr>
      <w:rPr>
        <w:rFonts w:hint="eastAsia"/>
      </w:rPr>
    </w:lvl>
    <w:lvl w:ilvl="8" w:tentative="0">
      <w:start w:val="1"/>
      <w:numFmt w:val="decimal"/>
      <w:lvlText w:val="%1.%2.%3.%4.%5.%6.%7.%8.%9."/>
      <w:lvlJc w:val="left"/>
      <w:pPr>
        <w:tabs>
          <w:tab w:val="left" w:pos="1759"/>
        </w:tabs>
        <w:ind w:left="1759" w:hanging="1559"/>
      </w:pPr>
      <w:rPr>
        <w:rFonts w:hint="eastAsia"/>
      </w:rPr>
    </w:lvl>
  </w:abstractNum>
  <w:abstractNum w:abstractNumId="3">
    <w:nsid w:val="00000004"/>
    <w:multiLevelType w:val="singleLevel"/>
    <w:tmpl w:val="00000004"/>
    <w:lvl w:ilvl="0" w:tentative="0">
      <w:start w:val="1"/>
      <w:numFmt w:val="decimal"/>
      <w:suff w:val="nothing"/>
      <w:lvlText w:val="（%1）"/>
      <w:lvlJc w:val="left"/>
    </w:lvl>
  </w:abstractNum>
  <w:abstractNum w:abstractNumId="4">
    <w:nsid w:val="00000005"/>
    <w:multiLevelType w:val="singleLevel"/>
    <w:tmpl w:val="00000005"/>
    <w:lvl w:ilvl="0" w:tentative="0">
      <w:start w:val="1"/>
      <w:numFmt w:val="decimal"/>
      <w:suff w:val="nothing"/>
      <w:lvlText w:val="%1）"/>
      <w:lvlJc w:val="left"/>
    </w:lvl>
  </w:abstractNum>
  <w:abstractNum w:abstractNumId="5">
    <w:nsid w:val="00000006"/>
    <w:multiLevelType w:val="multilevel"/>
    <w:tmpl w:val="00000006"/>
    <w:lvl w:ilvl="0" w:tentative="0">
      <w:start w:val="1"/>
      <w:numFmt w:val="decimal"/>
      <w:suff w:val="nothing"/>
      <w:lvlText w:val="%1"/>
      <w:lvlJc w:val="left"/>
      <w:pPr>
        <w:ind w:left="1985" w:hanging="1985"/>
      </w:pPr>
      <w:rPr>
        <w:rFonts w:hint="eastAsia"/>
      </w:rPr>
    </w:lvl>
    <w:lvl w:ilvl="1" w:tentative="0">
      <w:start w:val="1"/>
      <w:numFmt w:val="decimal"/>
      <w:suff w:val="nothing"/>
      <w:lvlText w:val="%1.%2 "/>
      <w:lvlJc w:val="left"/>
      <w:pPr>
        <w:ind w:left="1985" w:hanging="1985"/>
      </w:pPr>
      <w:rPr>
        <w:rFonts w:hint="default" w:ascii="Times New Roman" w:hAnsi="Times New Roman" w:eastAsia="黑体" w:cs="Times New Roman"/>
      </w:rPr>
    </w:lvl>
    <w:lvl w:ilvl="2" w:tentative="0">
      <w:start w:val="1"/>
      <w:numFmt w:val="decimal"/>
      <w:pStyle w:val="4"/>
      <w:suff w:val="nothing"/>
      <w:lvlText w:val="%1.%2.%3 "/>
      <w:lvlJc w:val="left"/>
      <w:pPr>
        <w:ind w:left="3261" w:hanging="1985"/>
      </w:pPr>
    </w:lvl>
    <w:lvl w:ilvl="3" w:tentative="0">
      <w:start w:val="1"/>
      <w:numFmt w:val="decimal"/>
      <w:suff w:val="nothing"/>
      <w:lvlText w:val="%1.%2.%3.%4 "/>
      <w:lvlJc w:val="left"/>
      <w:pPr>
        <w:ind w:left="2551" w:hanging="1984"/>
      </w:pPr>
      <w:rPr>
        <w:rFonts w:hint="default" w:ascii="Times New Roman" w:hAnsi="Times New Roman" w:cs="Times New Roman"/>
      </w:rPr>
    </w:lvl>
    <w:lvl w:ilvl="4" w:tentative="0">
      <w:start w:val="1"/>
      <w:numFmt w:val="decimal"/>
      <w:lvlText w:val="%1.%2.%3.%4.%5"/>
      <w:lvlJc w:val="left"/>
      <w:pPr>
        <w:tabs>
          <w:tab w:val="left" w:pos="2551"/>
        </w:tabs>
        <w:ind w:left="2551" w:hanging="2551"/>
      </w:pPr>
      <w:rPr>
        <w:rFonts w:hint="eastAsia"/>
      </w:rPr>
    </w:lvl>
    <w:lvl w:ilvl="5" w:tentative="0">
      <w:start w:val="1"/>
      <w:numFmt w:val="decimal"/>
      <w:lvlText w:val="%1.%2.%3.%4.%5.%6"/>
      <w:lvlJc w:val="left"/>
      <w:pPr>
        <w:tabs>
          <w:tab w:val="left" w:pos="3260"/>
        </w:tabs>
        <w:ind w:left="3260" w:hanging="3260"/>
      </w:pPr>
      <w:rPr>
        <w:rFonts w:hint="eastAsia"/>
      </w:rPr>
    </w:lvl>
    <w:lvl w:ilvl="6" w:tentative="0">
      <w:start w:val="1"/>
      <w:numFmt w:val="decimal"/>
      <w:lvlText w:val="%1.%2.%3.%4.%5.%6.%7"/>
      <w:lvlJc w:val="left"/>
      <w:pPr>
        <w:tabs>
          <w:tab w:val="left" w:pos="3827"/>
        </w:tabs>
        <w:ind w:left="3827" w:hanging="3827"/>
      </w:pPr>
      <w:rPr>
        <w:rFonts w:hint="eastAsia"/>
      </w:rPr>
    </w:lvl>
    <w:lvl w:ilvl="7" w:tentative="0">
      <w:start w:val="1"/>
      <w:numFmt w:val="decimal"/>
      <w:lvlText w:val="%1.%2.%3.%4.%5.%6.%7.%8"/>
      <w:lvlJc w:val="left"/>
      <w:pPr>
        <w:tabs>
          <w:tab w:val="left" w:pos="4394"/>
        </w:tabs>
        <w:ind w:left="4394" w:hanging="4394"/>
      </w:pPr>
      <w:rPr>
        <w:rFonts w:hint="eastAsia"/>
      </w:rPr>
    </w:lvl>
    <w:lvl w:ilvl="8" w:tentative="0">
      <w:start w:val="1"/>
      <w:numFmt w:val="decimal"/>
      <w:lvlText w:val="%1.%2.%3.%4.%5.%6.%7.%8.%9"/>
      <w:lvlJc w:val="left"/>
      <w:pPr>
        <w:tabs>
          <w:tab w:val="left" w:pos="5102"/>
        </w:tabs>
        <w:ind w:left="5102" w:hanging="5102"/>
      </w:pPr>
      <w:rPr>
        <w:rFonts w:hint="eastAsia"/>
      </w:r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3Njk4MzJlNzMyNjY2MWY1OTQzOGQ0OTc1ZTY1MDUifQ=="/>
  </w:docVars>
  <w:rsids>
    <w:rsidRoot w:val="00000000"/>
    <w:rsid w:val="76793A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Autospacing="0" w:after="330" w:afterAutospacing="0" w:line="576" w:lineRule="auto"/>
      <w:outlineLvl w:val="0"/>
    </w:pPr>
    <w:rPr>
      <w:b/>
      <w:kern w:val="44"/>
      <w:sz w:val="44"/>
    </w:rPr>
  </w:style>
  <w:style w:type="paragraph" w:styleId="3">
    <w:name w:val="heading 2"/>
    <w:basedOn w:val="1"/>
    <w:next w:val="1"/>
    <w:qFormat/>
    <w:uiPriority w:val="0"/>
    <w:pPr>
      <w:keepNext/>
      <w:keepLines/>
      <w:spacing w:before="260" w:beforeAutospacing="0" w:after="260" w:afterAutospacing="0" w:line="413" w:lineRule="auto"/>
      <w:outlineLvl w:val="1"/>
    </w:pPr>
    <w:rPr>
      <w:rFonts w:ascii="Arial" w:hAnsi="Arial" w:eastAsia="黑体"/>
      <w:b/>
      <w:sz w:val="32"/>
    </w:rPr>
  </w:style>
  <w:style w:type="paragraph" w:styleId="4">
    <w:name w:val="heading 3"/>
    <w:basedOn w:val="1"/>
    <w:next w:val="1"/>
    <w:qFormat/>
    <w:uiPriority w:val="0"/>
    <w:pPr>
      <w:keepNext/>
      <w:keepLines/>
      <w:numPr>
        <w:ilvl w:val="2"/>
        <w:numId w:val="2"/>
      </w:numPr>
      <w:spacing w:before="260" w:beforeAutospacing="0" w:after="260" w:afterAutospacing="0" w:line="413" w:lineRule="auto"/>
      <w:ind w:left="3261" w:hanging="1985"/>
      <w:outlineLvl w:val="2"/>
    </w:pPr>
    <w:rPr>
      <w:b/>
      <w:sz w:val="32"/>
    </w:rPr>
  </w:style>
  <w:style w:type="character" w:default="1" w:styleId="21">
    <w:name w:val="Default Paragraph Font"/>
    <w:qFormat/>
    <w:uiPriority w:val="0"/>
  </w:style>
  <w:style w:type="table" w:default="1" w:styleId="19">
    <w:name w:val="Normal Table"/>
    <w:qFormat/>
    <w:uiPriority w:val="0"/>
    <w:tblPr>
      <w:tblCellMar>
        <w:top w:w="0" w:type="dxa"/>
        <w:left w:w="108" w:type="dxa"/>
        <w:bottom w:w="0" w:type="dxa"/>
        <w:right w:w="108" w:type="dxa"/>
      </w:tblCellMar>
    </w:tblPr>
  </w:style>
  <w:style w:type="paragraph" w:styleId="5">
    <w:name w:val="Normal Indent"/>
    <w:basedOn w:val="1"/>
    <w:qFormat/>
    <w:uiPriority w:val="99"/>
    <w:pPr>
      <w:ind w:firstLine="420"/>
    </w:pPr>
    <w:rPr>
      <w:szCs w:val="20"/>
    </w:rPr>
  </w:style>
  <w:style w:type="paragraph" w:styleId="6">
    <w:name w:val="annotation text"/>
    <w:basedOn w:val="1"/>
    <w:qFormat/>
    <w:uiPriority w:val="0"/>
    <w:pPr>
      <w:jc w:val="left"/>
    </w:pPr>
  </w:style>
  <w:style w:type="paragraph" w:styleId="7">
    <w:name w:val="Body Text"/>
    <w:basedOn w:val="1"/>
    <w:qFormat/>
    <w:uiPriority w:val="0"/>
    <w:rPr>
      <w:rFonts w:ascii="宋体" w:hAnsi="宋体" w:eastAsia="宋体" w:cs="宋体"/>
      <w:sz w:val="24"/>
      <w:szCs w:val="24"/>
    </w:rPr>
  </w:style>
  <w:style w:type="paragraph" w:styleId="8">
    <w:name w:val="Body Text Indent"/>
    <w:basedOn w:val="1"/>
    <w:next w:val="9"/>
    <w:qFormat/>
    <w:uiPriority w:val="99"/>
    <w:pPr>
      <w:spacing w:after="120"/>
      <w:ind w:left="420" w:leftChars="200"/>
    </w:pPr>
  </w:style>
  <w:style w:type="paragraph" w:customStyle="1" w:styleId="9">
    <w:name w:val="样式 正文文本缩进 + 行距: 1.5 倍行距"/>
    <w:basedOn w:val="10"/>
    <w:next w:val="1"/>
    <w:qFormat/>
    <w:uiPriority w:val="0"/>
    <w:pPr>
      <w:spacing w:after="120" w:line="360" w:lineRule="auto"/>
      <w:ind w:left="90" w:leftChars="32" w:firstLine="560" w:firstLineChars="200"/>
    </w:pPr>
    <w:rPr>
      <w:rFonts w:cs="宋体"/>
    </w:rPr>
  </w:style>
  <w:style w:type="paragraph" w:customStyle="1" w:styleId="10">
    <w:name w:val="正文文本缩进1"/>
    <w:basedOn w:val="1"/>
    <w:next w:val="9"/>
    <w:qFormat/>
    <w:uiPriority w:val="0"/>
    <w:pPr>
      <w:ind w:left="420" w:leftChars="200"/>
    </w:pPr>
    <w:rPr>
      <w:rFonts w:hint="eastAsia" w:ascii="Times New Roman" w:hAnsi="Times New Roman" w:eastAsia="Times New Roman"/>
      <w:sz w:val="24"/>
    </w:rPr>
  </w:style>
  <w:style w:type="paragraph" w:styleId="11">
    <w:name w:val="Plain Text"/>
    <w:basedOn w:val="1"/>
    <w:qFormat/>
    <w:uiPriority w:val="99"/>
    <w:rPr>
      <w:rFonts w:ascii="宋体" w:hAnsi="Courier New"/>
    </w:rPr>
  </w:style>
  <w:style w:type="paragraph" w:styleId="12">
    <w:name w:val="List Bullet 5"/>
    <w:basedOn w:val="1"/>
    <w:qFormat/>
    <w:uiPriority w:val="0"/>
    <w:pPr>
      <w:numPr>
        <w:ilvl w:val="0"/>
        <w:numId w:val="3"/>
      </w:numPr>
    </w:pPr>
  </w:style>
  <w:style w:type="paragraph" w:styleId="13">
    <w:name w:val="Body Text Indent 2"/>
    <w:basedOn w:val="1"/>
    <w:qFormat/>
    <w:uiPriority w:val="0"/>
    <w:pPr>
      <w:spacing w:after="120" w:line="480" w:lineRule="auto"/>
      <w:ind w:left="420" w:leftChars="200"/>
    </w:p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qFormat/>
    <w:uiPriority w:val="99"/>
    <w:pPr>
      <w:widowControl/>
      <w:spacing w:before="100" w:beforeAutospacing="1" w:after="100" w:afterAutospacing="1"/>
      <w:jc w:val="left"/>
    </w:pPr>
    <w:rPr>
      <w:rFonts w:ascii="宋体" w:hAnsi="宋体"/>
      <w:kern w:val="0"/>
      <w:sz w:val="24"/>
    </w:rPr>
  </w:style>
  <w:style w:type="paragraph" w:styleId="17">
    <w:name w:val="Body Text First Indent"/>
    <w:basedOn w:val="7"/>
    <w:qFormat/>
    <w:uiPriority w:val="99"/>
    <w:pPr>
      <w:spacing w:after="120" w:line="240" w:lineRule="auto"/>
      <w:ind w:firstLine="420" w:firstLineChars="100"/>
      <w:jc w:val="left"/>
    </w:pPr>
  </w:style>
  <w:style w:type="paragraph" w:styleId="18">
    <w:name w:val="Body Text First Indent 2"/>
    <w:basedOn w:val="8"/>
    <w:next w:val="1"/>
    <w:qFormat/>
    <w:uiPriority w:val="99"/>
    <w:pPr>
      <w:ind w:firstLine="420" w:firstLine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annotation reference"/>
    <w:qFormat/>
    <w:uiPriority w:val="0"/>
    <w:rPr>
      <w:sz w:val="21"/>
      <w:szCs w:val="21"/>
    </w:rPr>
  </w:style>
  <w:style w:type="paragraph" w:customStyle="1" w:styleId="23">
    <w:name w:val="Default"/>
    <w:qFormat/>
    <w:uiPriority w:val="99"/>
    <w:pPr>
      <w:widowControl w:val="0"/>
      <w:autoSpaceDE w:val="0"/>
      <w:autoSpaceDN w:val="0"/>
    </w:pPr>
    <w:rPr>
      <w:rFonts w:hint="eastAsia" w:ascii="宋体" w:hAnsi="Calibri" w:eastAsia="宋体" w:cs="Times New Roman"/>
      <w:color w:val="000000"/>
      <w:sz w:val="24"/>
      <w:szCs w:val="22"/>
      <w:lang w:val="en-US" w:eastAsia="zh-CN" w:bidi="ar-SA"/>
    </w:rPr>
  </w:style>
  <w:style w:type="paragraph" w:customStyle="1" w:styleId="24">
    <w:name w:val="Table Paragraph"/>
    <w:basedOn w:val="1"/>
    <w:qFormat/>
    <w:uiPriority w:val="1"/>
    <w:rPr>
      <w:rFonts w:ascii="宋体" w:hAnsi="宋体" w:eastAsia="宋体" w:cs="宋体"/>
    </w:rPr>
  </w:style>
  <w:style w:type="paragraph" w:customStyle="1" w:styleId="25">
    <w:name w:val="表格"/>
    <w:basedOn w:val="1"/>
    <w:qFormat/>
    <w:uiPriority w:val="0"/>
    <w:pPr>
      <w:jc w:val="center"/>
    </w:pPr>
    <w:rPr>
      <w:sz w:val="24"/>
    </w:rPr>
  </w:style>
  <w:style w:type="paragraph" w:customStyle="1" w:styleId="26">
    <w:name w:val="普通(网站)1"/>
    <w:basedOn w:val="1"/>
    <w:qFormat/>
    <w:uiPriority w:val="0"/>
    <w:pPr>
      <w:snapToGrid/>
      <w:spacing w:before="280" w:after="280"/>
    </w:pPr>
    <w:rPr>
      <w:rFonts w:ascii="宋体" w:hAnsi="宋体" w:eastAsia="宋体" w:cs="宋体"/>
      <w:sz w:val="24"/>
      <w:szCs w:val="24"/>
    </w:rPr>
  </w:style>
  <w:style w:type="paragraph" w:customStyle="1" w:styleId="27">
    <w:name w:val="Body Text Indent_f1d55068-355f-4e32-b7d7-715b1d6cd737"/>
    <w:next w:val="9"/>
    <w:qFormat/>
    <w:uiPriority w:val="0"/>
    <w:pPr>
      <w:widowControl w:val="0"/>
      <w:spacing w:after="120"/>
      <w:ind w:left="420" w:leftChars="200"/>
      <w:jc w:val="both"/>
    </w:pPr>
    <w:rPr>
      <w:rFonts w:ascii="Times New Roman" w:hAnsi="Times New Roman" w:eastAsia="宋体" w:cs="Times New Roman"/>
      <w:kern w:val="2"/>
      <w:sz w:val="24"/>
      <w:szCs w:val="24"/>
      <w:lang w:val="en-US" w:eastAsia="zh-CN" w:bidi="ar-SA"/>
    </w:rPr>
  </w:style>
  <w:style w:type="paragraph" w:customStyle="1" w:styleId="28">
    <w:name w:val="【表格】"/>
    <w:next w:val="17"/>
    <w:qFormat/>
    <w:uiPriority w:val="0"/>
    <w:pPr>
      <w:jc w:val="center"/>
    </w:pPr>
    <w:rPr>
      <w:rFonts w:ascii="Times New Roman" w:hAnsi="Times New Roman" w:eastAsia="宋体" w:cs="Times New Roman"/>
      <w:sz w:val="21"/>
      <w:szCs w:val="24"/>
      <w:lang w:val="en-US" w:eastAsia="zh-CN" w:bidi="ar-SA"/>
    </w:rPr>
  </w:style>
  <w:style w:type="paragraph" w:styleId="29">
    <w:name w:val="List Paragraph"/>
    <w:basedOn w:val="1"/>
    <w:qFormat/>
    <w:uiPriority w:val="1"/>
    <w:pPr>
      <w:ind w:left="603" w:hanging="360"/>
    </w:pPr>
    <w:rPr>
      <w:rFonts w:ascii="宋体" w:hAnsi="宋体" w:eastAsia="宋体" w:cs="宋体"/>
    </w:rPr>
  </w:style>
  <w:style w:type="paragraph" w:customStyle="1" w:styleId="30">
    <w:name w:val="li_正文"/>
    <w:basedOn w:val="1"/>
    <w:qFormat/>
    <w:uiPriority w:val="0"/>
    <w:pPr>
      <w:spacing w:line="360" w:lineRule="auto"/>
      <w:ind w:firstLine="360" w:firstLineChars="150"/>
      <w:jc w:val="left"/>
    </w:pPr>
    <w:rPr>
      <w:rFonts w:ascii="宋体" w:hAnsi="宋体"/>
      <w:sz w:val="24"/>
    </w:rPr>
  </w:style>
  <w:style w:type="table" w:customStyle="1" w:styleId="31">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emf"/><Relationship Id="rId17" Type="http://schemas.openxmlformats.org/officeDocument/2006/relationships/oleObject" Target="embeddings/oleObject4.bin"/><Relationship Id="rId16" Type="http://schemas.openxmlformats.org/officeDocument/2006/relationships/image" Target="media/image6.emf"/><Relationship Id="rId15" Type="http://schemas.openxmlformats.org/officeDocument/2006/relationships/oleObject" Target="embeddings/oleObject3.bin"/><Relationship Id="rId14" Type="http://schemas.openxmlformats.org/officeDocument/2006/relationships/image" Target="media/image5.emf"/><Relationship Id="rId13" Type="http://schemas.openxmlformats.org/officeDocument/2006/relationships/oleObject" Target="embeddings/oleObject2.bin"/><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25062</Words>
  <Characters>30109</Characters>
  <Paragraphs>2603</Paragraphs>
  <TotalTime>3</TotalTime>
  <ScaleCrop>false</ScaleCrop>
  <LinksUpToDate>false</LinksUpToDate>
  <CharactersWithSpaces>30626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2021-07-07T00:21:00Z</dcterms:created>
  <dc:creator>Administrator</dc:creator>
  <cp:lastModifiedBy>似水&amp;若冰</cp:lastModifiedBy>
  <cp:lastPrinted>2023-11-08T01:49:00Z</cp:lastPrinted>
  <dcterms:modified xsi:type="dcterms:W3CDTF">2023-11-29T01:57:31Z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53A978FB9C7643F2BF3E5D0393DB40A5</vt:lpwstr>
  </property>
</Properties>
</file>